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9E8AF5" w14:textId="77777777" w:rsidR="008521EC" w:rsidRDefault="009F43EC">
      <w:pPr>
        <w:pStyle w:val="af0"/>
        <w:jc w:val="center"/>
        <w:rPr>
          <w:rFonts w:ascii="Times New Roman" w:eastAsia="Times New Roman" w:hAnsi="Times New Roman" w:cs="Times New Roman"/>
          <w:b/>
          <w:sz w:val="36"/>
        </w:rPr>
      </w:pPr>
      <w:bookmarkStart w:id="0" w:name="_GoBack"/>
      <w:bookmarkEnd w:id="0"/>
      <w:r>
        <w:rPr>
          <w:rFonts w:ascii="Times New Roman" w:eastAsia="Times New Roman" w:hAnsi="Times New Roman" w:cs="Times New Roman"/>
          <w:b/>
          <w:sz w:val="36"/>
        </w:rPr>
        <w:t xml:space="preserve">Памятка </w:t>
      </w:r>
    </w:p>
    <w:p w14:paraId="2945A5A8" w14:textId="7D70570A" w:rsidR="008521EC" w:rsidRDefault="009F43EC">
      <w:pPr>
        <w:pStyle w:val="af0"/>
        <w:jc w:val="center"/>
        <w:rPr>
          <w:rFonts w:ascii="Times New Roman" w:eastAsia="Times New Roman" w:hAnsi="Times New Roman" w:cs="Times New Roman"/>
          <w:b/>
          <w:color w:val="000000"/>
          <w:sz w:val="36"/>
        </w:rPr>
      </w:pPr>
      <w:r>
        <w:rPr>
          <w:rFonts w:ascii="Times New Roman" w:eastAsia="Times New Roman" w:hAnsi="Times New Roman" w:cs="Times New Roman"/>
          <w:b/>
          <w:sz w:val="36"/>
        </w:rPr>
        <w:t>для  сельхозтоваропроизводителей  о</w:t>
      </w:r>
      <w:r>
        <w:rPr>
          <w:rFonts w:ascii="Times New Roman" w:eastAsia="Times New Roman" w:hAnsi="Times New Roman" w:cs="Times New Roman"/>
          <w:b/>
          <w:color w:val="000000"/>
          <w:sz w:val="36"/>
        </w:rPr>
        <w:t xml:space="preserve"> программе агрострахования с господдержкой</w:t>
      </w:r>
    </w:p>
    <w:p w14:paraId="6FF0F0E6" w14:textId="77777777" w:rsidR="008521EC" w:rsidRDefault="008521EC">
      <w:pPr>
        <w:pStyle w:val="af0"/>
        <w:jc w:val="center"/>
        <w:rPr>
          <w:rFonts w:ascii="Times New Roman" w:eastAsia="Times New Roman" w:hAnsi="Times New Roman" w:cs="Times New Roman"/>
          <w:b/>
          <w:sz w:val="36"/>
        </w:rPr>
      </w:pPr>
    </w:p>
    <w:p w14:paraId="0956A3B7" w14:textId="77777777" w:rsidR="008521EC" w:rsidRDefault="009F43EC">
      <w:pPr>
        <w:spacing w:after="0"/>
        <w:jc w:val="center"/>
        <w:rPr>
          <w:rFonts w:ascii="Times New Roman" w:eastAsia="Times New Roman" w:hAnsi="Times New Roman" w:cs="Times New Roman"/>
          <w:i/>
          <w:sz w:val="28"/>
          <w:u w:val="single"/>
        </w:rPr>
      </w:pPr>
      <w:r>
        <w:rPr>
          <w:rFonts w:ascii="Times New Roman" w:eastAsia="Times New Roman" w:hAnsi="Times New Roman" w:cs="Times New Roman"/>
          <w:b/>
          <w:i/>
          <w:color w:val="000000"/>
          <w:sz w:val="28"/>
          <w:u w:val="single"/>
        </w:rPr>
        <w:t>Что можно застраховать?</w:t>
      </w:r>
    </w:p>
    <w:p w14:paraId="5BD35635" w14:textId="77777777" w:rsidR="008521EC" w:rsidRDefault="009F43EC">
      <w:pPr>
        <w:spacing w:after="0"/>
        <w:ind w:firstLine="567"/>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Программа страхования позволяет застраховать самый широкий перечень сельскохозяйственных культур и многолетних насаждений . </w:t>
      </w:r>
      <w:r>
        <w:rPr>
          <w:rFonts w:ascii="Times New Roman" w:eastAsia="Times New Roman" w:hAnsi="Times New Roman" w:cs="Times New Roman"/>
          <w:sz w:val="28"/>
        </w:rPr>
        <w:t>Предметом страхования урожай сельскохозяйственных культур являются :</w:t>
      </w:r>
    </w:p>
    <w:p w14:paraId="559F07F8" w14:textId="77777777" w:rsidR="008521EC" w:rsidRDefault="009F43EC">
      <w:pPr>
        <w:pStyle w:val="af0"/>
        <w:numPr>
          <w:ilvl w:val="0"/>
          <w:numId w:val="7"/>
        </w:numPr>
        <w:rPr>
          <w:rFonts w:ascii="Times New Roman" w:eastAsia="Times New Roman" w:hAnsi="Times New Roman" w:cs="Times New Roman"/>
          <w:sz w:val="28"/>
        </w:rPr>
      </w:pPr>
      <w:r>
        <w:rPr>
          <w:rFonts w:ascii="Times New Roman" w:eastAsia="Times New Roman" w:hAnsi="Times New Roman" w:cs="Times New Roman"/>
          <w:sz w:val="28"/>
        </w:rPr>
        <w:t>зерновые и зернобобовые культуры;</w:t>
      </w:r>
    </w:p>
    <w:p w14:paraId="51019154" w14:textId="77777777" w:rsidR="008521EC" w:rsidRDefault="009F43EC">
      <w:pPr>
        <w:pStyle w:val="af0"/>
        <w:numPr>
          <w:ilvl w:val="0"/>
          <w:numId w:val="7"/>
        </w:numPr>
        <w:rPr>
          <w:rFonts w:ascii="Times New Roman" w:eastAsia="Times New Roman" w:hAnsi="Times New Roman" w:cs="Times New Roman"/>
          <w:sz w:val="28"/>
        </w:rPr>
      </w:pPr>
      <w:r>
        <w:rPr>
          <w:rFonts w:ascii="Times New Roman" w:eastAsia="Times New Roman" w:hAnsi="Times New Roman" w:cs="Times New Roman"/>
          <w:sz w:val="28"/>
        </w:rPr>
        <w:t>масличные культуры;</w:t>
      </w:r>
    </w:p>
    <w:p w14:paraId="4431345C" w14:textId="77777777" w:rsidR="008521EC" w:rsidRDefault="009F43EC">
      <w:pPr>
        <w:pStyle w:val="af0"/>
        <w:numPr>
          <w:ilvl w:val="0"/>
          <w:numId w:val="7"/>
        </w:numPr>
        <w:rPr>
          <w:rFonts w:ascii="Times New Roman" w:eastAsia="Times New Roman" w:hAnsi="Times New Roman" w:cs="Times New Roman"/>
          <w:sz w:val="28"/>
        </w:rPr>
      </w:pPr>
      <w:r>
        <w:rPr>
          <w:rFonts w:ascii="Times New Roman" w:eastAsia="Times New Roman" w:hAnsi="Times New Roman" w:cs="Times New Roman"/>
          <w:sz w:val="28"/>
        </w:rPr>
        <w:t xml:space="preserve">технические культуры , кормовые культуры, </w:t>
      </w:r>
    </w:p>
    <w:p w14:paraId="2EB27607" w14:textId="59C825A0" w:rsidR="008521EC" w:rsidRDefault="009F43EC">
      <w:pPr>
        <w:pStyle w:val="af0"/>
        <w:numPr>
          <w:ilvl w:val="0"/>
          <w:numId w:val="7"/>
        </w:numPr>
        <w:rPr>
          <w:rFonts w:ascii="Times New Roman" w:eastAsia="Times New Roman" w:hAnsi="Times New Roman" w:cs="Times New Roman"/>
          <w:sz w:val="28"/>
        </w:rPr>
      </w:pPr>
      <w:r>
        <w:rPr>
          <w:rFonts w:ascii="Times New Roman" w:eastAsia="Times New Roman" w:hAnsi="Times New Roman" w:cs="Times New Roman"/>
          <w:sz w:val="28"/>
        </w:rPr>
        <w:t>бахчевые культуры; картофель; овощные культуры в том числе выращиваемые в защищенном грунте.</w:t>
      </w:r>
    </w:p>
    <w:p w14:paraId="0F66C4C3" w14:textId="77777777" w:rsidR="008521EC" w:rsidRDefault="009F43EC">
      <w:pPr>
        <w:pStyle w:val="af0"/>
        <w:numPr>
          <w:ilvl w:val="0"/>
          <w:numId w:val="7"/>
        </w:numPr>
        <w:rPr>
          <w:rFonts w:ascii="Times New Roman" w:eastAsia="Times New Roman" w:hAnsi="Times New Roman" w:cs="Times New Roman"/>
          <w:sz w:val="28"/>
        </w:rPr>
      </w:pPr>
      <w:r>
        <w:rPr>
          <w:rFonts w:ascii="Times New Roman" w:eastAsia="Times New Roman" w:hAnsi="Times New Roman" w:cs="Times New Roman"/>
          <w:sz w:val="28"/>
        </w:rPr>
        <w:t>посадки многолетних плодовых насаждений</w:t>
      </w:r>
    </w:p>
    <w:p w14:paraId="749714A0" w14:textId="77777777" w:rsidR="008521EC" w:rsidRDefault="008521EC">
      <w:pPr>
        <w:pStyle w:val="af0"/>
        <w:jc w:val="center"/>
        <w:rPr>
          <w:rFonts w:ascii="Times New Roman" w:eastAsia="Times New Roman" w:hAnsi="Times New Roman" w:cs="Times New Roman"/>
          <w:b/>
          <w:i/>
          <w:color w:val="000000" w:themeColor="text1"/>
          <w:sz w:val="28"/>
          <w:u w:val="single"/>
        </w:rPr>
      </w:pPr>
    </w:p>
    <w:p w14:paraId="62FF2945" w14:textId="77777777" w:rsidR="008521EC" w:rsidRDefault="009F43EC">
      <w:pPr>
        <w:pStyle w:val="af0"/>
        <w:jc w:val="center"/>
        <w:rPr>
          <w:rFonts w:ascii="Times New Roman" w:eastAsia="Times New Roman" w:hAnsi="Times New Roman" w:cs="Times New Roman"/>
          <w:b/>
          <w:i/>
          <w:color w:val="000000"/>
          <w:sz w:val="28"/>
          <w:u w:val="single"/>
        </w:rPr>
      </w:pPr>
      <w:r>
        <w:rPr>
          <w:rFonts w:ascii="Times New Roman" w:eastAsia="Times New Roman" w:hAnsi="Times New Roman" w:cs="Times New Roman"/>
          <w:b/>
          <w:i/>
          <w:color w:val="000000" w:themeColor="text1"/>
          <w:sz w:val="28"/>
          <w:u w:val="single"/>
        </w:rPr>
        <w:t>От каких событий?</w:t>
      </w:r>
    </w:p>
    <w:p w14:paraId="71DF32AD"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Существует две основных программы агрострахования:</w:t>
      </w:r>
    </w:p>
    <w:p w14:paraId="1AA8054B" w14:textId="77777777" w:rsidR="008521EC" w:rsidRDefault="009F43EC">
      <w:pPr>
        <w:pStyle w:val="af0"/>
        <w:numPr>
          <w:ilvl w:val="0"/>
          <w:numId w:val="8"/>
        </w:numPr>
        <w:rPr>
          <w:rFonts w:ascii="Times New Roman" w:eastAsia="Times New Roman" w:hAnsi="Times New Roman" w:cs="Times New Roman"/>
          <w:b/>
          <w:sz w:val="28"/>
        </w:rPr>
      </w:pPr>
      <w:r>
        <w:rPr>
          <w:rFonts w:ascii="Times New Roman" w:eastAsia="Times New Roman" w:hAnsi="Times New Roman" w:cs="Times New Roman"/>
          <w:b/>
          <w:color w:val="000000"/>
          <w:sz w:val="28"/>
        </w:rPr>
        <w:t>МУЛЬТИРИСК</w:t>
      </w:r>
    </w:p>
    <w:p w14:paraId="3ADFDE32" w14:textId="77777777" w:rsidR="008521EC" w:rsidRDefault="009F43EC">
      <w:pPr>
        <w:pStyle w:val="af0"/>
        <w:numPr>
          <w:ilvl w:val="0"/>
          <w:numId w:val="8"/>
        </w:numPr>
        <w:rPr>
          <w:rFonts w:ascii="Times New Roman" w:eastAsia="Times New Roman" w:hAnsi="Times New Roman" w:cs="Times New Roman"/>
          <w:b/>
          <w:sz w:val="28"/>
        </w:rPr>
      </w:pPr>
      <w:r>
        <w:rPr>
          <w:rFonts w:ascii="Times New Roman" w:eastAsia="Times New Roman" w:hAnsi="Times New Roman" w:cs="Times New Roman"/>
          <w:b/>
          <w:color w:val="000000"/>
          <w:sz w:val="28"/>
        </w:rPr>
        <w:t>ЧС</w:t>
      </w:r>
    </w:p>
    <w:p w14:paraId="395BF6BC" w14:textId="77777777" w:rsidR="008521EC" w:rsidRDefault="009F43EC">
      <w:pPr>
        <w:pStyle w:val="af0"/>
        <w:jc w:val="center"/>
        <w:rPr>
          <w:rFonts w:ascii="Times New Roman" w:eastAsia="Times New Roman" w:hAnsi="Times New Roman" w:cs="Times New Roman"/>
          <w:sz w:val="28"/>
          <w:u w:val="single"/>
        </w:rPr>
      </w:pPr>
      <w:r>
        <w:rPr>
          <w:rFonts w:ascii="Times New Roman" w:eastAsia="Times New Roman" w:hAnsi="Times New Roman" w:cs="Times New Roman"/>
          <w:b/>
          <w:i/>
          <w:color w:val="000000" w:themeColor="text1"/>
          <w:sz w:val="28"/>
          <w:u w:val="single"/>
        </w:rPr>
        <w:t>От чего защищает мультирисковое страхование</w:t>
      </w:r>
      <w:r>
        <w:rPr>
          <w:rFonts w:ascii="Times New Roman" w:eastAsia="Times New Roman" w:hAnsi="Times New Roman" w:cs="Times New Roman"/>
          <w:b/>
          <w:color w:val="000000" w:themeColor="text1"/>
          <w:sz w:val="28"/>
          <w:u w:val="single"/>
        </w:rPr>
        <w:t>?</w:t>
      </w:r>
    </w:p>
    <w:p w14:paraId="18156A95"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Природные опасности и вредные организмы</w:t>
      </w:r>
    </w:p>
    <w:p w14:paraId="08A69945"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Атмосферная, почвенная засуха, суховей, природный пожар</w:t>
      </w:r>
    </w:p>
    <w:p w14:paraId="7A5295F3"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Заморозки, выпревание, вымерзание, ледяная корка, раннее появление или установление снежного покрова, промерзание верхнего слоя почвы</w:t>
      </w:r>
    </w:p>
    <w:p w14:paraId="4D4F79B9"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Град, крупный град, сильный ливень, сильный и (или) продолжительный дождь, переувлажнение почвы</w:t>
      </w:r>
    </w:p>
    <w:p w14:paraId="7CFD7E27"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Cильная пыльная (песчаная) буря, сильный и (или) ураганный ветер </w:t>
      </w:r>
    </w:p>
    <w:p w14:paraId="23DD971B"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Оползень, землетрясение, сход снежных лавин, сель</w:t>
      </w:r>
    </w:p>
    <w:p w14:paraId="06FAA0E2"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Половодье, наводнение, подтопление, паводок</w:t>
      </w:r>
    </w:p>
    <w:p w14:paraId="57FAA8CF" w14:textId="77777777" w:rsidR="008521EC" w:rsidRDefault="009F43EC">
      <w:pPr>
        <w:pStyle w:val="af1"/>
        <w:numPr>
          <w:ilvl w:val="0"/>
          <w:numId w:val="1"/>
        </w:numPr>
        <w:spacing w:after="0" w:line="240" w:lineRule="auto"/>
        <w:jc w:val="both"/>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Нарушение электро-, тепло- и водоснабжения в результате опасных природных явлений</w:t>
      </w:r>
    </w:p>
    <w:p w14:paraId="462AFB92" w14:textId="77777777" w:rsidR="008521EC" w:rsidRDefault="009F43EC">
      <w:pPr>
        <w:pStyle w:val="af1"/>
        <w:numPr>
          <w:ilvl w:val="0"/>
          <w:numId w:val="1"/>
        </w:num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color w:val="000000"/>
          <w:sz w:val="28"/>
        </w:rPr>
        <w:t>Проникновение или распространения вредных организмов, носящих эпифитотический (массовый) характер</w:t>
      </w:r>
    </w:p>
    <w:p w14:paraId="7A01D8DE" w14:textId="77777777" w:rsidR="008521EC" w:rsidRDefault="008521EC">
      <w:pPr>
        <w:spacing w:after="0" w:line="660" w:lineRule="atLeast"/>
        <w:jc w:val="center"/>
        <w:rPr>
          <w:rFonts w:ascii="Times New Roman" w:eastAsia="Times New Roman" w:hAnsi="Times New Roman" w:cs="Times New Roman"/>
          <w:b/>
          <w:color w:val="000000" w:themeColor="text1"/>
          <w:sz w:val="28"/>
          <w:u w:val="single"/>
        </w:rPr>
      </w:pPr>
    </w:p>
    <w:p w14:paraId="33E9ABC5" w14:textId="77777777" w:rsidR="008521EC" w:rsidRDefault="009F43EC">
      <w:pPr>
        <w:spacing w:after="0" w:line="660" w:lineRule="atLeast"/>
        <w:jc w:val="center"/>
        <w:rPr>
          <w:rFonts w:ascii="Times New Roman" w:eastAsia="Times New Roman" w:hAnsi="Times New Roman" w:cs="Times New Roman"/>
          <w:b/>
          <w:i/>
          <w:color w:val="000000"/>
          <w:sz w:val="28"/>
          <w:u w:val="single"/>
        </w:rPr>
      </w:pPr>
      <w:r>
        <w:rPr>
          <w:rFonts w:ascii="Times New Roman" w:eastAsia="Times New Roman" w:hAnsi="Times New Roman" w:cs="Times New Roman"/>
          <w:b/>
          <w:color w:val="000000" w:themeColor="text1"/>
          <w:sz w:val="28"/>
          <w:u w:val="single"/>
        </w:rPr>
        <w:t xml:space="preserve">От чего защищает страхование от </w:t>
      </w:r>
      <w:r>
        <w:rPr>
          <w:rFonts w:ascii="Times New Roman" w:eastAsia="Times New Roman" w:hAnsi="Times New Roman" w:cs="Times New Roman"/>
          <w:b/>
          <w:i/>
          <w:color w:val="000000" w:themeColor="text1"/>
          <w:sz w:val="28"/>
          <w:u w:val="single"/>
        </w:rPr>
        <w:t>ЧС?</w:t>
      </w:r>
    </w:p>
    <w:p w14:paraId="266F666E" w14:textId="77777777" w:rsidR="008521EC" w:rsidRDefault="008521EC">
      <w:pPr>
        <w:pStyle w:val="af0"/>
        <w:rPr>
          <w:rFonts w:ascii="Times New Roman" w:eastAsia="Times New Roman" w:hAnsi="Times New Roman" w:cs="Times New Roman"/>
          <w:b/>
          <w:color w:val="000000"/>
          <w:sz w:val="28"/>
        </w:rPr>
      </w:pPr>
    </w:p>
    <w:p w14:paraId="1AB956D7" w14:textId="77777777" w:rsidR="008521EC" w:rsidRDefault="009F43EC">
      <w:pPr>
        <w:spacing w:after="0" w:line="240" w:lineRule="auto"/>
        <w:jc w:val="both"/>
        <w:rPr>
          <w:rFonts w:ascii="Times New Roman" w:eastAsia="Times New Roman" w:hAnsi="Times New Roman" w:cs="Times New Roman"/>
          <w:sz w:val="28"/>
        </w:rPr>
      </w:pPr>
      <w:r>
        <w:rPr>
          <w:rFonts w:ascii="Times New Roman" w:eastAsia="Times New Roman" w:hAnsi="Times New Roman" w:cs="Times New Roman"/>
          <w:b/>
          <w:color w:val="000000"/>
          <w:sz w:val="28"/>
        </w:rPr>
        <w:t xml:space="preserve">Официально объявленные природные ЧС </w:t>
      </w:r>
      <w:r>
        <w:rPr>
          <w:rFonts w:ascii="Times New Roman" w:eastAsia="Times New Roman" w:hAnsi="Times New Roman" w:cs="Times New Roman"/>
          <w:color w:val="000000"/>
          <w:sz w:val="28"/>
        </w:rPr>
        <w:t>федерального, межрегионального или регионального характера</w:t>
      </w:r>
    </w:p>
    <w:p w14:paraId="53453784" w14:textId="77777777" w:rsidR="008521EC" w:rsidRDefault="009F43EC">
      <w:pPr>
        <w:pStyle w:val="af1"/>
        <w:numPr>
          <w:ilvl w:val="0"/>
          <w:numId w:val="2"/>
        </w:numPr>
        <w:spacing w:after="0" w:line="240" w:lineRule="auto"/>
        <w:jc w:val="both"/>
      </w:pPr>
      <w:r>
        <w:rPr>
          <w:rFonts w:ascii="Times New Roman" w:eastAsia="Times New Roman" w:hAnsi="Times New Roman" w:cs="Times New Roman"/>
          <w:color w:val="000000"/>
          <w:sz w:val="28"/>
        </w:rPr>
        <w:t xml:space="preserve">Защищает ваш урожай при полной гибели в случае любой природной ЧС федерального, межрегионального или регионального характера. </w:t>
      </w:r>
    </w:p>
    <w:p w14:paraId="216FB2C0" w14:textId="77777777" w:rsidR="008521EC" w:rsidRDefault="009F43EC">
      <w:pPr>
        <w:pStyle w:val="af1"/>
        <w:numPr>
          <w:ilvl w:val="0"/>
          <w:numId w:val="2"/>
        </w:numPr>
        <w:spacing w:after="0" w:line="240" w:lineRule="auto"/>
        <w:jc w:val="both"/>
      </w:pPr>
      <w:r>
        <w:rPr>
          <w:rFonts w:ascii="Times New Roman" w:eastAsia="Times New Roman" w:hAnsi="Times New Roman" w:cs="Times New Roman"/>
          <w:color w:val="000000"/>
          <w:sz w:val="28"/>
        </w:rPr>
        <w:t xml:space="preserve">Решение о введении ЧС принимается руководителем региона. ЧС районного масштаба не компенсируются. </w:t>
      </w:r>
    </w:p>
    <w:p w14:paraId="55292386" w14:textId="77777777" w:rsidR="008521EC" w:rsidRDefault="008521EC">
      <w:pPr>
        <w:spacing w:after="0"/>
        <w:jc w:val="center"/>
        <w:rPr>
          <w:rFonts w:ascii="Times New Roman" w:eastAsia="Times New Roman" w:hAnsi="Times New Roman" w:cs="Times New Roman"/>
          <w:sz w:val="28"/>
        </w:rPr>
      </w:pPr>
    </w:p>
    <w:p w14:paraId="2644B93A" w14:textId="77777777" w:rsidR="008521EC" w:rsidRDefault="008521EC">
      <w:pPr>
        <w:spacing w:after="0"/>
        <w:jc w:val="center"/>
        <w:rPr>
          <w:rFonts w:ascii="Times New Roman" w:eastAsia="Times New Roman" w:hAnsi="Times New Roman" w:cs="Times New Roman"/>
          <w:b/>
          <w:i/>
          <w:color w:val="000000"/>
          <w:sz w:val="28"/>
          <w:u w:val="single"/>
        </w:rPr>
      </w:pPr>
    </w:p>
    <w:p w14:paraId="3582AEFA" w14:textId="77777777" w:rsidR="008521EC" w:rsidRDefault="008521EC">
      <w:pPr>
        <w:spacing w:after="0"/>
        <w:jc w:val="center"/>
        <w:rPr>
          <w:rFonts w:ascii="Times New Roman" w:eastAsia="Times New Roman" w:hAnsi="Times New Roman" w:cs="Times New Roman"/>
          <w:b/>
          <w:i/>
          <w:color w:val="000000"/>
          <w:sz w:val="28"/>
          <w:u w:val="single"/>
        </w:rPr>
      </w:pPr>
    </w:p>
    <w:p w14:paraId="717F7C8B" w14:textId="77777777" w:rsidR="008521EC" w:rsidRDefault="009F43EC">
      <w:pPr>
        <w:spacing w:after="0"/>
        <w:jc w:val="center"/>
      </w:pPr>
      <w:r>
        <w:rPr>
          <w:rFonts w:ascii="Times New Roman" w:eastAsia="Times New Roman" w:hAnsi="Times New Roman" w:cs="Times New Roman"/>
          <w:b/>
          <w:i/>
          <w:color w:val="000000"/>
          <w:sz w:val="28"/>
          <w:u w:val="single"/>
        </w:rPr>
        <w:t>2</w:t>
      </w:r>
    </w:p>
    <w:p w14:paraId="42D9C487" w14:textId="77777777" w:rsidR="008521EC" w:rsidRDefault="008521EC">
      <w:pPr>
        <w:spacing w:after="0"/>
        <w:jc w:val="center"/>
        <w:rPr>
          <w:rFonts w:ascii="Times New Roman" w:eastAsia="Times New Roman" w:hAnsi="Times New Roman" w:cs="Times New Roman"/>
          <w:b/>
          <w:i/>
          <w:color w:val="000000"/>
          <w:sz w:val="28"/>
          <w:u w:val="single"/>
        </w:rPr>
      </w:pPr>
    </w:p>
    <w:p w14:paraId="37553567" w14:textId="77777777" w:rsidR="008521EC" w:rsidRDefault="009F43EC">
      <w:pPr>
        <w:spacing w:after="0"/>
        <w:jc w:val="center"/>
        <w:rPr>
          <w:rFonts w:ascii="Times New Roman" w:eastAsia="Times New Roman" w:hAnsi="Times New Roman" w:cs="Times New Roman"/>
          <w:sz w:val="28"/>
          <w:u w:val="single"/>
        </w:rPr>
      </w:pPr>
      <w:r>
        <w:rPr>
          <w:rFonts w:ascii="Times New Roman" w:eastAsia="Times New Roman" w:hAnsi="Times New Roman" w:cs="Times New Roman"/>
          <w:b/>
          <w:i/>
          <w:color w:val="000000"/>
          <w:sz w:val="28"/>
          <w:u w:val="single"/>
        </w:rPr>
        <w:t>Сколько</w:t>
      </w:r>
      <w:r>
        <w:rPr>
          <w:rFonts w:ascii="Times New Roman" w:eastAsia="Times New Roman" w:hAnsi="Times New Roman" w:cs="Times New Roman"/>
          <w:b/>
          <w:color w:val="000000"/>
          <w:sz w:val="28"/>
          <w:u w:val="single"/>
        </w:rPr>
        <w:t xml:space="preserve"> стоит страхование ?</w:t>
      </w:r>
    </w:p>
    <w:p w14:paraId="5AEE7966" w14:textId="77777777" w:rsidR="008521EC" w:rsidRDefault="009F43EC">
      <w:pPr>
        <w:pStyle w:val="af0"/>
        <w:numPr>
          <w:ilvl w:val="0"/>
          <w:numId w:val="3"/>
        </w:numPr>
        <w:rPr>
          <w:rFonts w:ascii="Times New Roman" w:eastAsia="Times New Roman" w:hAnsi="Times New Roman" w:cs="Times New Roman"/>
          <w:sz w:val="28"/>
        </w:rPr>
      </w:pPr>
      <w:r>
        <w:rPr>
          <w:rFonts w:ascii="Times New Roman" w:eastAsia="Times New Roman" w:hAnsi="Times New Roman" w:cs="Times New Roman"/>
          <w:color w:val="000000"/>
          <w:sz w:val="28"/>
        </w:rPr>
        <w:t>Стоимость страхования зависит от региона, страхуемой культуры, набора рисков и финансовых ограничений (франшизы, лимита выплаты)</w:t>
      </w:r>
    </w:p>
    <w:p w14:paraId="09B414C0" w14:textId="77777777" w:rsidR="008521EC" w:rsidRDefault="008521EC">
      <w:pPr>
        <w:pStyle w:val="af0"/>
        <w:rPr>
          <w:rFonts w:ascii="Times New Roman" w:eastAsia="Times New Roman" w:hAnsi="Times New Roman" w:cs="Times New Roman"/>
          <w:sz w:val="28"/>
        </w:rPr>
      </w:pPr>
    </w:p>
    <w:p w14:paraId="5C8CC34B" w14:textId="77777777" w:rsidR="008521EC" w:rsidRDefault="009F43EC">
      <w:pPr>
        <w:pStyle w:val="af0"/>
        <w:numPr>
          <w:ilvl w:val="0"/>
          <w:numId w:val="3"/>
        </w:numPr>
        <w:rPr>
          <w:rFonts w:ascii="Times New Roman" w:eastAsia="Times New Roman" w:hAnsi="Times New Roman" w:cs="Times New Roman"/>
          <w:sz w:val="28"/>
        </w:rPr>
      </w:pPr>
      <w:r>
        <w:rPr>
          <w:rFonts w:ascii="Times New Roman" w:eastAsia="Times New Roman" w:hAnsi="Times New Roman" w:cs="Times New Roman"/>
          <w:color w:val="000000"/>
          <w:sz w:val="28"/>
        </w:rPr>
        <w:t>Существенную часть стоимости страхования оплачивает Министерство сельского хозяйства: 50% для мультирискового страхования и до 80% для страхования от природных ЧС</w:t>
      </w:r>
    </w:p>
    <w:p w14:paraId="1F2D0145" w14:textId="77777777" w:rsidR="008521EC" w:rsidRDefault="008521EC">
      <w:pPr>
        <w:pStyle w:val="af0"/>
        <w:rPr>
          <w:rFonts w:ascii="Times New Roman" w:eastAsia="Times New Roman" w:hAnsi="Times New Roman" w:cs="Times New Roman"/>
          <w:sz w:val="28"/>
        </w:rPr>
      </w:pPr>
    </w:p>
    <w:p w14:paraId="1C96728F" w14:textId="77777777" w:rsidR="008521EC" w:rsidRDefault="009F43EC">
      <w:pPr>
        <w:pStyle w:val="af0"/>
        <w:numPr>
          <w:ilvl w:val="0"/>
          <w:numId w:val="3"/>
        </w:numPr>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Разброс стоимости страховки очень большой. </w:t>
      </w:r>
    </w:p>
    <w:p w14:paraId="52B59E28" w14:textId="6E5842DD" w:rsidR="008521EC" w:rsidRDefault="009F43EC">
      <w:pPr>
        <w:pStyle w:val="af0"/>
        <w:ind w:left="709"/>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Например, на страхование яровой пшеницы  при цене за тонну 11,000 ₽ и урожайности 60 ц/Га, взнос сельхозтоваропроизводителя на мультирисковое страхование может составлять от 350₽ до 2,500 ₽ за гектар в зависимости от выбранной франшизы и страховой суммы</w:t>
      </w:r>
    </w:p>
    <w:p w14:paraId="1C8145F1" w14:textId="77777777" w:rsidR="008521EC" w:rsidRDefault="009F43EC">
      <w:pPr>
        <w:spacing w:after="0" w:line="450" w:lineRule="atLeast"/>
        <w:jc w:val="center"/>
      </w:pPr>
      <w:r>
        <w:rPr>
          <w:rFonts w:ascii="Times New Roman" w:eastAsia="Times New Roman" w:hAnsi="Times New Roman" w:cs="Times New Roman"/>
          <w:sz w:val="28"/>
        </w:rPr>
        <w:t xml:space="preserve">             </w:t>
      </w:r>
    </w:p>
    <w:p w14:paraId="2664E720" w14:textId="77777777" w:rsidR="008521EC" w:rsidRDefault="009F43EC">
      <w:pPr>
        <w:spacing w:after="0" w:line="450" w:lineRule="atLeast"/>
        <w:jc w:val="center"/>
      </w:pPr>
      <w:r>
        <w:rPr>
          <w:rFonts w:ascii="Times New Roman" w:eastAsia="Times New Roman" w:hAnsi="Times New Roman" w:cs="Times New Roman"/>
          <w:sz w:val="28"/>
        </w:rPr>
        <w:t xml:space="preserve">  </w:t>
      </w:r>
      <w:r>
        <w:rPr>
          <w:rFonts w:ascii="Times New Roman" w:eastAsia="Times New Roman" w:hAnsi="Times New Roman" w:cs="Times New Roman"/>
          <w:b/>
          <w:color w:val="000000"/>
          <w:sz w:val="28"/>
          <w:u w:val="single"/>
        </w:rPr>
        <w:t>Для получения страховой выплаты необходим следующий минимальный пакет документов</w:t>
      </w:r>
    </w:p>
    <w:p w14:paraId="08036F6D" w14:textId="77777777" w:rsidR="008521EC" w:rsidRDefault="008521EC">
      <w:pPr>
        <w:spacing w:after="0" w:line="450" w:lineRule="atLeast"/>
        <w:jc w:val="center"/>
        <w:rPr>
          <w:rFonts w:ascii="Times New Roman" w:eastAsia="Times New Roman" w:hAnsi="Times New Roman" w:cs="Times New Roman"/>
          <w:b/>
          <w:i/>
          <w:color w:val="000000"/>
          <w:sz w:val="28"/>
          <w:u w:val="single"/>
        </w:rPr>
      </w:pPr>
    </w:p>
    <w:p w14:paraId="06D64FF0" w14:textId="77777777" w:rsidR="008521EC" w:rsidRDefault="009F43EC">
      <w:pPr>
        <w:spacing w:after="0" w:line="450" w:lineRule="atLeast"/>
        <w:jc w:val="center"/>
        <w:rPr>
          <w:rFonts w:ascii="Times New Roman" w:eastAsia="Times New Roman" w:hAnsi="Times New Roman" w:cs="Times New Roman"/>
          <w:i/>
          <w:color w:val="000000"/>
          <w:sz w:val="28"/>
        </w:rPr>
      </w:pPr>
      <w:r>
        <w:rPr>
          <w:rFonts w:ascii="Times New Roman" w:eastAsia="Times New Roman" w:hAnsi="Times New Roman" w:cs="Times New Roman"/>
          <w:b/>
          <w:i/>
          <w:color w:val="000000" w:themeColor="text1"/>
          <w:sz w:val="28"/>
          <w:u w:val="single"/>
        </w:rPr>
        <w:t>Мультириск</w:t>
      </w:r>
    </w:p>
    <w:p w14:paraId="66C56B86"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Справка о факте события</w:t>
      </w:r>
    </w:p>
    <w:p w14:paraId="3EBADC81" w14:textId="77777777" w:rsidR="008521EC" w:rsidRDefault="009F43EC">
      <w:pPr>
        <w:pStyle w:val="af0"/>
        <w:numPr>
          <w:ilvl w:val="0"/>
          <w:numId w:val="4"/>
        </w:numPr>
        <w:rPr>
          <w:rFonts w:ascii="Times New Roman" w:eastAsia="Times New Roman" w:hAnsi="Times New Roman" w:cs="Times New Roman"/>
          <w:sz w:val="28"/>
        </w:rPr>
      </w:pPr>
      <w:r>
        <w:rPr>
          <w:rFonts w:ascii="Times New Roman" w:eastAsia="Times New Roman" w:hAnsi="Times New Roman" w:cs="Times New Roman"/>
          <w:color w:val="202B31"/>
          <w:sz w:val="28"/>
        </w:rPr>
        <w:t xml:space="preserve">Справка из подразделения Росгидромета или МЧС, подтверждающая факт природного события </w:t>
      </w:r>
    </w:p>
    <w:p w14:paraId="21AA1F20" w14:textId="77777777" w:rsidR="008521EC" w:rsidRDefault="009F43EC">
      <w:pPr>
        <w:pStyle w:val="af0"/>
        <w:numPr>
          <w:ilvl w:val="0"/>
          <w:numId w:val="4"/>
        </w:numPr>
        <w:rPr>
          <w:rFonts w:ascii="Times New Roman" w:eastAsia="Times New Roman" w:hAnsi="Times New Roman" w:cs="Times New Roman"/>
          <w:sz w:val="28"/>
        </w:rPr>
      </w:pPr>
      <w:r>
        <w:rPr>
          <w:rFonts w:ascii="Times New Roman" w:eastAsia="Times New Roman" w:hAnsi="Times New Roman" w:cs="Times New Roman"/>
          <w:color w:val="202B31"/>
          <w:sz w:val="28"/>
        </w:rPr>
        <w:t>Справка из компетентного органа, подтверждающая эпифитотический характер распространения вредных организмов</w:t>
      </w:r>
    </w:p>
    <w:p w14:paraId="1678D56F" w14:textId="77777777" w:rsidR="008521EC" w:rsidRDefault="008521EC">
      <w:pPr>
        <w:pStyle w:val="af0"/>
        <w:rPr>
          <w:rFonts w:ascii="Times New Roman" w:eastAsia="Times New Roman" w:hAnsi="Times New Roman" w:cs="Times New Roman"/>
          <w:sz w:val="28"/>
        </w:rPr>
      </w:pPr>
    </w:p>
    <w:p w14:paraId="34A0CFC1"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Акт обследования от эксперта</w:t>
      </w:r>
    </w:p>
    <w:p w14:paraId="184EDD15"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Акт обследования сельскохозяйственных культур от эксперта, назначенного страховой компанией</w:t>
      </w:r>
    </w:p>
    <w:p w14:paraId="24842A6C" w14:textId="77777777" w:rsidR="008521EC" w:rsidRDefault="008521EC">
      <w:pPr>
        <w:pStyle w:val="af0"/>
        <w:rPr>
          <w:rFonts w:ascii="Times New Roman" w:eastAsia="Times New Roman" w:hAnsi="Times New Roman" w:cs="Times New Roman"/>
          <w:sz w:val="28"/>
        </w:rPr>
      </w:pPr>
    </w:p>
    <w:p w14:paraId="7D5C491F"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Формы 4-СХ (1-фермер) и 29-СХ (2-фермер)</w:t>
      </w:r>
    </w:p>
    <w:p w14:paraId="586E2CEF" w14:textId="77777777" w:rsidR="008521EC" w:rsidRDefault="009F43EC">
      <w:pPr>
        <w:pStyle w:val="af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Статистическая форма 4-СХ (1-фермер), фиксирующая итоги сева под урожай, и статистическая форма 29-СХ (2-фермер), фиксирующая полученный урожай в текущем сезоне</w:t>
      </w:r>
    </w:p>
    <w:p w14:paraId="15BEC4A3" w14:textId="77777777" w:rsidR="008521EC" w:rsidRDefault="008521EC">
      <w:pPr>
        <w:pStyle w:val="af0"/>
        <w:rPr>
          <w:rFonts w:ascii="Times New Roman" w:eastAsia="Times New Roman" w:hAnsi="Times New Roman" w:cs="Times New Roman"/>
          <w:sz w:val="28"/>
        </w:rPr>
      </w:pPr>
    </w:p>
    <w:p w14:paraId="528A65B3" w14:textId="77777777" w:rsidR="008521EC" w:rsidRDefault="009F43EC">
      <w:pPr>
        <w:pStyle w:val="af0"/>
        <w:jc w:val="center"/>
      </w:pPr>
      <w:r>
        <w:rPr>
          <w:rFonts w:ascii="Times New Roman" w:eastAsia="Times New Roman" w:hAnsi="Times New Roman" w:cs="Times New Roman"/>
          <w:b/>
          <w:i/>
          <w:color w:val="000000" w:themeColor="text1"/>
          <w:sz w:val="28"/>
          <w:u w:val="single"/>
        </w:rPr>
        <w:t>При возникновении ЧС</w:t>
      </w:r>
    </w:p>
    <w:p w14:paraId="226C5E9E" w14:textId="77777777" w:rsidR="008521EC" w:rsidRDefault="008521EC">
      <w:pPr>
        <w:pStyle w:val="af0"/>
        <w:rPr>
          <w:rFonts w:ascii="Times New Roman" w:eastAsia="Times New Roman" w:hAnsi="Times New Roman" w:cs="Times New Roman"/>
          <w:sz w:val="28"/>
        </w:rPr>
      </w:pPr>
    </w:p>
    <w:p w14:paraId="32769E07"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Справка о факте события</w:t>
      </w:r>
    </w:p>
    <w:p w14:paraId="0B994917"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Копии решения гос. органа о введении режима ЧС регионального характера</w:t>
      </w:r>
    </w:p>
    <w:p w14:paraId="1295A2F8"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Акт комиссии по ЧС</w:t>
      </w:r>
    </w:p>
    <w:p w14:paraId="1199ACA2" w14:textId="77777777" w:rsidR="008521EC" w:rsidRDefault="008521EC">
      <w:pPr>
        <w:pStyle w:val="af0"/>
        <w:rPr>
          <w:rFonts w:ascii="Times New Roman" w:eastAsia="Times New Roman" w:hAnsi="Times New Roman" w:cs="Times New Roman"/>
          <w:sz w:val="28"/>
        </w:rPr>
      </w:pPr>
    </w:p>
    <w:p w14:paraId="4F808098"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Акт обследования от эксперта</w:t>
      </w:r>
    </w:p>
    <w:p w14:paraId="0FD21479" w14:textId="77777777" w:rsidR="008521EC" w:rsidRDefault="009F43EC">
      <w:pPr>
        <w:pStyle w:val="af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lastRenderedPageBreak/>
        <w:t>Cтраховая компания по результатам космомониторинга или осмотра эксперта подтверждает или корректирует площадь гибели</w:t>
      </w:r>
    </w:p>
    <w:p w14:paraId="096823DA" w14:textId="77777777" w:rsidR="008521EC" w:rsidRDefault="008521EC">
      <w:pPr>
        <w:pStyle w:val="af0"/>
        <w:rPr>
          <w:rFonts w:ascii="Times New Roman" w:eastAsia="Times New Roman" w:hAnsi="Times New Roman" w:cs="Times New Roman"/>
          <w:sz w:val="28"/>
        </w:rPr>
      </w:pPr>
    </w:p>
    <w:p w14:paraId="7B341704" w14:textId="77777777" w:rsidR="008521EC" w:rsidRDefault="008521EC">
      <w:pPr>
        <w:pStyle w:val="af0"/>
        <w:rPr>
          <w:rFonts w:ascii="Times New Roman" w:eastAsia="Times New Roman" w:hAnsi="Times New Roman" w:cs="Times New Roman"/>
          <w:b/>
          <w:color w:val="000000"/>
          <w:sz w:val="28"/>
        </w:rPr>
      </w:pPr>
    </w:p>
    <w:p w14:paraId="1863F6D5" w14:textId="77777777" w:rsidR="008521EC" w:rsidRDefault="009F43EC">
      <w:pPr>
        <w:pStyle w:val="af0"/>
        <w:jc w:val="center"/>
      </w:pPr>
      <w:r>
        <w:rPr>
          <w:rFonts w:ascii="Times New Roman" w:eastAsia="Times New Roman" w:hAnsi="Times New Roman" w:cs="Times New Roman"/>
          <w:b/>
          <w:color w:val="000000"/>
          <w:sz w:val="28"/>
          <w:u w:val="single"/>
        </w:rPr>
        <w:t>3</w:t>
      </w:r>
    </w:p>
    <w:p w14:paraId="4E00FEF4" w14:textId="77777777" w:rsidR="008521EC" w:rsidRDefault="008521EC">
      <w:pPr>
        <w:pStyle w:val="af0"/>
        <w:jc w:val="center"/>
        <w:rPr>
          <w:rFonts w:ascii="Times New Roman" w:eastAsia="Times New Roman" w:hAnsi="Times New Roman" w:cs="Times New Roman"/>
          <w:b/>
          <w:color w:val="000000"/>
          <w:sz w:val="28"/>
          <w:u w:val="single"/>
        </w:rPr>
      </w:pPr>
    </w:p>
    <w:p w14:paraId="1741AB9D" w14:textId="77777777" w:rsidR="008521EC" w:rsidRDefault="009F43EC">
      <w:pPr>
        <w:pStyle w:val="af0"/>
        <w:jc w:val="center"/>
        <w:rPr>
          <w:rFonts w:ascii="Times New Roman" w:eastAsia="Times New Roman" w:hAnsi="Times New Roman" w:cs="Times New Roman"/>
          <w:b/>
          <w:color w:val="000000"/>
          <w:sz w:val="28"/>
          <w:u w:val="single"/>
        </w:rPr>
      </w:pPr>
      <w:r>
        <w:rPr>
          <w:rFonts w:ascii="Times New Roman" w:eastAsia="Times New Roman" w:hAnsi="Times New Roman" w:cs="Times New Roman"/>
          <w:b/>
          <w:color w:val="000000"/>
          <w:sz w:val="28"/>
          <w:u w:val="single"/>
        </w:rPr>
        <w:t>Расчет размера компенсации происходит в два этапа</w:t>
      </w:r>
    </w:p>
    <w:p w14:paraId="4D6158C3" w14:textId="77777777" w:rsidR="008521EC" w:rsidRDefault="008521EC">
      <w:pPr>
        <w:pStyle w:val="af0"/>
        <w:rPr>
          <w:rFonts w:ascii="Times New Roman" w:eastAsia="Times New Roman" w:hAnsi="Times New Roman" w:cs="Times New Roman"/>
          <w:sz w:val="28"/>
        </w:rPr>
      </w:pPr>
    </w:p>
    <w:p w14:paraId="2A97098E" w14:textId="77777777" w:rsidR="008521EC" w:rsidRDefault="009F43EC">
      <w:pPr>
        <w:pStyle w:val="af0"/>
        <w:numPr>
          <w:ilvl w:val="0"/>
          <w:numId w:val="5"/>
        </w:numPr>
        <w:rPr>
          <w:rFonts w:ascii="Times New Roman" w:eastAsia="Times New Roman" w:hAnsi="Times New Roman" w:cs="Times New Roman"/>
          <w:sz w:val="28"/>
        </w:rPr>
      </w:pPr>
      <w:r>
        <w:rPr>
          <w:rFonts w:ascii="Times New Roman" w:eastAsia="Times New Roman" w:hAnsi="Times New Roman" w:cs="Times New Roman"/>
          <w:b/>
          <w:color w:val="000000"/>
          <w:sz w:val="28"/>
        </w:rPr>
        <w:t>Определение размера потерь урожая от СС  (страхового случая)</w:t>
      </w:r>
    </w:p>
    <w:p w14:paraId="7F5668D2" w14:textId="77777777" w:rsidR="008521EC" w:rsidRDefault="009F43EC">
      <w:pPr>
        <w:pStyle w:val="af0"/>
        <w:ind w:firstLine="708"/>
        <w:rPr>
          <w:rFonts w:ascii="Times New Roman" w:eastAsia="Times New Roman" w:hAnsi="Times New Roman" w:cs="Times New Roman"/>
          <w:sz w:val="28"/>
        </w:rPr>
      </w:pPr>
      <w:r>
        <w:rPr>
          <w:rFonts w:ascii="Times New Roman" w:eastAsia="Times New Roman" w:hAnsi="Times New Roman" w:cs="Times New Roman"/>
          <w:b/>
          <w:color w:val="000000"/>
          <w:sz w:val="28"/>
        </w:rPr>
        <w:t xml:space="preserve">Общие потери </w:t>
      </w:r>
      <w:r>
        <w:rPr>
          <w:rFonts w:ascii="Times New Roman" w:eastAsia="Times New Roman" w:hAnsi="Times New Roman" w:cs="Times New Roman"/>
          <w:color w:val="000000"/>
          <w:sz w:val="28"/>
        </w:rPr>
        <w:t>= Планируемый размер урожая - Фактический размер урожая</w:t>
      </w:r>
      <w:r>
        <w:rPr>
          <w:rFonts w:ascii="Times New Roman" w:eastAsia="Times New Roman" w:hAnsi="Times New Roman" w:cs="Times New Roman"/>
          <w:color w:val="000000"/>
          <w:sz w:val="28"/>
        </w:rPr>
        <w:br/>
      </w:r>
      <w:r>
        <w:rPr>
          <w:rFonts w:ascii="Times New Roman" w:eastAsia="Times New Roman" w:hAnsi="Times New Roman" w:cs="Times New Roman"/>
          <w:b/>
          <w:color w:val="000000"/>
          <w:sz w:val="28"/>
        </w:rPr>
        <w:t xml:space="preserve">Потери урожая от СС </w:t>
      </w:r>
      <w:r>
        <w:rPr>
          <w:rFonts w:ascii="Times New Roman" w:eastAsia="Times New Roman" w:hAnsi="Times New Roman" w:cs="Times New Roman"/>
          <w:color w:val="000000"/>
          <w:sz w:val="28"/>
        </w:rPr>
        <w:t xml:space="preserve">= </w:t>
      </w:r>
      <w:r>
        <w:rPr>
          <w:rFonts w:ascii="Times New Roman" w:eastAsia="Times New Roman" w:hAnsi="Times New Roman" w:cs="Times New Roman"/>
          <w:b/>
          <w:color w:val="000000"/>
          <w:sz w:val="28"/>
        </w:rPr>
        <w:t>Общие потери</w:t>
      </w:r>
      <w:r>
        <w:rPr>
          <w:rFonts w:ascii="Times New Roman" w:eastAsia="Times New Roman" w:hAnsi="Times New Roman" w:cs="Times New Roman"/>
          <w:color w:val="000000"/>
          <w:sz w:val="28"/>
        </w:rPr>
        <w:t xml:space="preserve"> - </w:t>
      </w:r>
      <w:r>
        <w:rPr>
          <w:rFonts w:ascii="Times New Roman" w:eastAsia="Times New Roman" w:hAnsi="Times New Roman" w:cs="Times New Roman"/>
          <w:b/>
          <w:color w:val="000000"/>
          <w:sz w:val="28"/>
        </w:rPr>
        <w:t xml:space="preserve">Потери урожая, не связанные с СС </w:t>
      </w:r>
      <w:r>
        <w:rPr>
          <w:rFonts w:ascii="Times New Roman" w:eastAsia="Times New Roman" w:hAnsi="Times New Roman" w:cs="Times New Roman"/>
          <w:color w:val="000000"/>
          <w:sz w:val="28"/>
        </w:rPr>
        <w:t>(при уборке, при нарушении агротехники и т.п.)</w:t>
      </w:r>
      <w:r>
        <w:rPr>
          <w:rFonts w:ascii="Times New Roman" w:eastAsia="Times New Roman" w:hAnsi="Times New Roman" w:cs="Times New Roman"/>
          <w:color w:val="000000"/>
          <w:sz w:val="28"/>
        </w:rPr>
        <w:br/>
        <w:t>Для оценки потерь в стоимостном выражении используется цена сельхозкультуры, принятая при заключении договора страхования</w:t>
      </w:r>
    </w:p>
    <w:p w14:paraId="31003122"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b/>
          <w:color w:val="000000"/>
          <w:sz w:val="28"/>
        </w:rPr>
        <w:t xml:space="preserve">     2) Применение финансовых ограничений из договора страхования</w:t>
      </w:r>
    </w:p>
    <w:p w14:paraId="6F69AE1B" w14:textId="77777777" w:rsidR="008521EC" w:rsidRDefault="009F43EC">
      <w:pPr>
        <w:pStyle w:val="af0"/>
        <w:rPr>
          <w:rFonts w:ascii="Times New Roman" w:eastAsia="Times New Roman" w:hAnsi="Times New Roman" w:cs="Times New Roman"/>
          <w:sz w:val="28"/>
        </w:rPr>
      </w:pPr>
      <w:r>
        <w:rPr>
          <w:rFonts w:ascii="Times New Roman" w:eastAsia="Times New Roman" w:hAnsi="Times New Roman" w:cs="Times New Roman"/>
          <w:color w:val="000000"/>
          <w:sz w:val="28"/>
        </w:rPr>
        <w:t>Размер произошедшего убытка корректируется на соотношение страховой суммы и страховой стоимости.Из полученной суммы вычитается размер франшизы, указанной в договоре, в рублях.</w:t>
      </w:r>
    </w:p>
    <w:p w14:paraId="444929F6" w14:textId="77777777" w:rsidR="008521EC" w:rsidRDefault="009F43EC">
      <w:pPr>
        <w:spacing w:after="0" w:line="690" w:lineRule="atLeast"/>
        <w:jc w:val="center"/>
        <w:rPr>
          <w:rFonts w:ascii="Times New Roman" w:eastAsia="Times New Roman" w:hAnsi="Times New Roman" w:cs="Times New Roman"/>
          <w:b/>
          <w:color w:val="000000"/>
          <w:sz w:val="28"/>
          <w:u w:val="single"/>
        </w:rPr>
      </w:pPr>
      <w:r>
        <w:rPr>
          <w:rFonts w:ascii="Times New Roman" w:eastAsia="Times New Roman" w:hAnsi="Times New Roman" w:cs="Times New Roman"/>
          <w:b/>
          <w:color w:val="000000" w:themeColor="text1"/>
          <w:sz w:val="28"/>
          <w:u w:val="single"/>
        </w:rPr>
        <w:t>Как заключить договор страхования?</w:t>
      </w:r>
    </w:p>
    <w:p w14:paraId="45DB886D" w14:textId="77777777" w:rsidR="008521EC" w:rsidRDefault="008521EC">
      <w:pPr>
        <w:pStyle w:val="af0"/>
        <w:ind w:firstLine="709"/>
        <w:rPr>
          <w:rFonts w:ascii="Times New Roman" w:eastAsia="Times New Roman" w:hAnsi="Times New Roman" w:cs="Times New Roman"/>
          <w:color w:val="000000"/>
          <w:sz w:val="28"/>
        </w:rPr>
      </w:pPr>
    </w:p>
    <w:p w14:paraId="120D9112" w14:textId="77777777" w:rsidR="008521EC" w:rsidRDefault="009F43EC">
      <w:pPr>
        <w:pStyle w:val="af0"/>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Подать заявление  в страховую организацию о принятом решении  страхования сельскохо-зяйственных культур .  </w:t>
      </w:r>
      <w:r>
        <w:rPr>
          <w:rFonts w:ascii="Times New Roman" w:eastAsia="Times New Roman" w:hAnsi="Times New Roman" w:cs="Times New Roman"/>
          <w:sz w:val="28"/>
        </w:rPr>
        <w:t>Заполнить заявление на страхование.</w:t>
      </w:r>
    </w:p>
    <w:p w14:paraId="2D83205A"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1A7CFB1C"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Предоставить  в страховую организацию статистические формы</w:t>
      </w:r>
      <w:r>
        <w:rPr>
          <w:rFonts w:ascii="Times New Roman" w:eastAsia="Times New Roman" w:hAnsi="Times New Roman" w:cs="Times New Roman"/>
          <w:sz w:val="28"/>
        </w:rPr>
        <w:t xml:space="preserve"> 4-СХ (1-фермер) и 29-СХ (2-фермер) за последние 5 лет для оценки исторической урожайности по культурам в вашем хозяйстве.</w:t>
      </w:r>
      <w:r>
        <w:rPr>
          <w:rFonts w:ascii="Times New Roman" w:eastAsia="Times New Roman" w:hAnsi="Times New Roman" w:cs="Times New Roman"/>
          <w:sz w:val="28"/>
        </w:rPr>
        <w:br/>
        <w:t>Если нет своей урожайности в предыдущие 5 лет – справку о районной урожайности (при отсутствии районной урожайности — урожайность ближайшего района или всего субъекта).</w:t>
      </w:r>
    </w:p>
    <w:p w14:paraId="47BA0F8D" w14:textId="77777777" w:rsidR="008521EC" w:rsidRDefault="008521EC">
      <w:pPr>
        <w:pStyle w:val="af0"/>
        <w:ind w:firstLine="709"/>
        <w:jc w:val="both"/>
        <w:rPr>
          <w:rFonts w:ascii="Times New Roman" w:eastAsia="Times New Roman" w:hAnsi="Times New Roman" w:cs="Times New Roman"/>
          <w:sz w:val="28"/>
        </w:rPr>
      </w:pPr>
    </w:p>
    <w:p w14:paraId="47F37EC5" w14:textId="77777777" w:rsidR="008521EC" w:rsidRDefault="009F43EC">
      <w:pPr>
        <w:pStyle w:val="af0"/>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Приложить дополнительные документы</w:t>
      </w:r>
    </w:p>
    <w:p w14:paraId="635330A5" w14:textId="77777777" w:rsidR="008521EC" w:rsidRDefault="009F43EC">
      <w:pPr>
        <w:pStyle w:val="af0"/>
        <w:numPr>
          <w:ilvl w:val="0"/>
          <w:numId w:val="9"/>
        </w:numPr>
        <w:jc w:val="both"/>
        <w:rPr>
          <w:rFonts w:ascii="Times New Roman" w:eastAsia="Times New Roman" w:hAnsi="Times New Roman" w:cs="Times New Roman"/>
          <w:sz w:val="28"/>
        </w:rPr>
      </w:pPr>
      <w:r>
        <w:rPr>
          <w:rFonts w:ascii="Times New Roman" w:eastAsia="Times New Roman" w:hAnsi="Times New Roman" w:cs="Times New Roman"/>
          <w:sz w:val="28"/>
        </w:rPr>
        <w:t>Технологическая карта</w:t>
      </w:r>
    </w:p>
    <w:p w14:paraId="097E050F" w14:textId="77777777" w:rsidR="008521EC" w:rsidRDefault="009F43EC">
      <w:pPr>
        <w:pStyle w:val="af0"/>
        <w:numPr>
          <w:ilvl w:val="0"/>
          <w:numId w:val="9"/>
        </w:numPr>
        <w:jc w:val="both"/>
        <w:rPr>
          <w:rFonts w:ascii="Times New Roman" w:eastAsia="Times New Roman" w:hAnsi="Times New Roman" w:cs="Times New Roman"/>
          <w:sz w:val="28"/>
        </w:rPr>
      </w:pPr>
      <w:r>
        <w:rPr>
          <w:rFonts w:ascii="Times New Roman" w:eastAsia="Times New Roman" w:hAnsi="Times New Roman" w:cs="Times New Roman"/>
          <w:sz w:val="28"/>
        </w:rPr>
        <w:t>Документы о качестве высеянных семян</w:t>
      </w:r>
    </w:p>
    <w:p w14:paraId="4294BF21" w14:textId="77777777" w:rsidR="008521EC" w:rsidRDefault="009F43EC">
      <w:pPr>
        <w:pStyle w:val="af0"/>
        <w:numPr>
          <w:ilvl w:val="0"/>
          <w:numId w:val="9"/>
        </w:numPr>
        <w:jc w:val="both"/>
        <w:rPr>
          <w:rFonts w:ascii="Times New Roman" w:eastAsia="Times New Roman" w:hAnsi="Times New Roman" w:cs="Times New Roman"/>
          <w:sz w:val="28"/>
        </w:rPr>
      </w:pPr>
      <w:r>
        <w:rPr>
          <w:rFonts w:ascii="Times New Roman" w:eastAsia="Times New Roman" w:hAnsi="Times New Roman" w:cs="Times New Roman"/>
          <w:sz w:val="28"/>
        </w:rPr>
        <w:t>План-схема полей</w:t>
      </w:r>
    </w:p>
    <w:p w14:paraId="5F75350B" w14:textId="77777777" w:rsidR="008521EC" w:rsidRDefault="009F43EC">
      <w:pPr>
        <w:pStyle w:val="af0"/>
        <w:numPr>
          <w:ilvl w:val="0"/>
          <w:numId w:val="9"/>
        </w:numPr>
        <w:jc w:val="both"/>
        <w:rPr>
          <w:rFonts w:ascii="Times New Roman" w:eastAsia="Times New Roman" w:hAnsi="Times New Roman" w:cs="Times New Roman"/>
          <w:sz w:val="28"/>
        </w:rPr>
      </w:pPr>
      <w:r>
        <w:rPr>
          <w:rFonts w:ascii="Times New Roman" w:eastAsia="Times New Roman" w:hAnsi="Times New Roman" w:cs="Times New Roman"/>
          <w:sz w:val="28"/>
        </w:rPr>
        <w:t>Они помогают оценить риск и могут улучшить условия страхования для вас.</w:t>
      </w:r>
    </w:p>
    <w:p w14:paraId="2E80E1F4" w14:textId="77777777" w:rsidR="008521EC" w:rsidRDefault="008521EC">
      <w:pPr>
        <w:pStyle w:val="af0"/>
        <w:ind w:firstLine="709"/>
        <w:jc w:val="both"/>
        <w:rPr>
          <w:rFonts w:ascii="Times New Roman" w:eastAsia="Times New Roman" w:hAnsi="Times New Roman" w:cs="Times New Roman"/>
          <w:sz w:val="28"/>
        </w:rPr>
      </w:pPr>
    </w:p>
    <w:p w14:paraId="21692A41" w14:textId="77777777" w:rsidR="008521EC" w:rsidRDefault="009F43EC">
      <w:pPr>
        <w:pStyle w:val="af0"/>
        <w:ind w:firstLine="709"/>
        <w:jc w:val="both"/>
      </w:pPr>
      <w:r>
        <w:rPr>
          <w:rFonts w:ascii="Times New Roman" w:eastAsia="Times New Roman" w:hAnsi="Times New Roman" w:cs="Times New Roman"/>
          <w:b/>
          <w:sz w:val="28"/>
        </w:rPr>
        <w:t>Заключить договор</w:t>
      </w:r>
      <w:r>
        <w:rPr>
          <w:rFonts w:ascii="Times New Roman" w:eastAsia="Times New Roman" w:hAnsi="Times New Roman" w:cs="Times New Roman"/>
          <w:sz w:val="28"/>
        </w:rPr>
        <w:t xml:space="preserve"> </w:t>
      </w:r>
    </w:p>
    <w:p w14:paraId="5A86C692"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Договор  о страховании   подписывается  не позднее 15 дней после окончания сева</w:t>
      </w:r>
      <w:r>
        <w:rPr>
          <w:rFonts w:ascii="Times New Roman" w:eastAsia="Times New Roman" w:hAnsi="Times New Roman" w:cs="Times New Roman"/>
          <w:sz w:val="28"/>
        </w:rPr>
        <w:t>. У некоторых страховщиков количество дней может отличаться в меньшую сторону.</w:t>
      </w:r>
    </w:p>
    <w:p w14:paraId="7F7CA966" w14:textId="77777777" w:rsidR="008521EC" w:rsidRDefault="008521EC">
      <w:pPr>
        <w:pStyle w:val="af0"/>
        <w:ind w:firstLine="709"/>
        <w:jc w:val="both"/>
        <w:rPr>
          <w:rFonts w:ascii="Times New Roman" w:eastAsia="Times New Roman" w:hAnsi="Times New Roman" w:cs="Times New Roman"/>
          <w:sz w:val="28"/>
        </w:rPr>
      </w:pPr>
    </w:p>
    <w:p w14:paraId="6C7BB081" w14:textId="77777777" w:rsidR="008521EC" w:rsidRDefault="009F43EC">
      <w:pPr>
        <w:pStyle w:val="af0"/>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Оплатить страховую премию </w:t>
      </w:r>
    </w:p>
    <w:p w14:paraId="602F27D8"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После заключения договора необходимо внести первый взнос в размере 50% страховой премии для мультирискового страхования или 20-40% — для ЧС. Остальная часть — субсидия Министерства сельского хозяйства.</w:t>
      </w:r>
    </w:p>
    <w:p w14:paraId="0C18615D" w14:textId="77777777" w:rsidR="008521EC" w:rsidRDefault="008521EC">
      <w:pPr>
        <w:pStyle w:val="af0"/>
        <w:ind w:firstLine="709"/>
        <w:jc w:val="both"/>
        <w:rPr>
          <w:rFonts w:ascii="Times New Roman" w:eastAsia="Times New Roman" w:hAnsi="Times New Roman" w:cs="Times New Roman"/>
          <w:sz w:val="28"/>
        </w:rPr>
      </w:pPr>
    </w:p>
    <w:p w14:paraId="1E5BE2BC" w14:textId="77777777" w:rsidR="008521EC" w:rsidRDefault="009F43EC">
      <w:pPr>
        <w:pStyle w:val="af0"/>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lastRenderedPageBreak/>
        <w:t>Получить субсидию</w:t>
      </w:r>
    </w:p>
    <w:p w14:paraId="461617BE" w14:textId="77777777" w:rsidR="008521EC" w:rsidRDefault="009F43EC">
      <w:pPr>
        <w:pStyle w:val="af0"/>
        <w:ind w:firstLine="709"/>
        <w:rPr>
          <w:rFonts w:ascii="Times New Roman" w:eastAsia="Times New Roman" w:hAnsi="Times New Roman" w:cs="Times New Roman"/>
          <w:sz w:val="28"/>
        </w:rPr>
      </w:pPr>
      <w:r>
        <w:rPr>
          <w:rFonts w:ascii="Times New Roman" w:eastAsia="Times New Roman" w:hAnsi="Times New Roman" w:cs="Times New Roman"/>
          <w:color w:val="000000"/>
          <w:sz w:val="28"/>
        </w:rPr>
        <w:t xml:space="preserve">После подписания договора необходимо подать документы в орган управления АПК субъекта для получения субсидии в соответствующем размере. </w:t>
      </w:r>
    </w:p>
    <w:p w14:paraId="5899BEDF" w14:textId="77777777" w:rsidR="008521EC" w:rsidRDefault="008521EC">
      <w:pPr>
        <w:pStyle w:val="af0"/>
        <w:ind w:firstLine="709"/>
        <w:jc w:val="center"/>
        <w:rPr>
          <w:rFonts w:ascii="Times New Roman" w:eastAsia="Times New Roman" w:hAnsi="Times New Roman" w:cs="Times New Roman"/>
          <w:b/>
          <w:i/>
          <w:color w:val="000000"/>
          <w:sz w:val="28"/>
        </w:rPr>
      </w:pPr>
    </w:p>
    <w:p w14:paraId="1D3C4B9A" w14:textId="77777777" w:rsidR="008521EC" w:rsidRDefault="008521EC">
      <w:pPr>
        <w:pStyle w:val="af0"/>
        <w:ind w:firstLine="709"/>
        <w:jc w:val="center"/>
        <w:rPr>
          <w:rFonts w:ascii="Times New Roman" w:eastAsia="Times New Roman" w:hAnsi="Times New Roman" w:cs="Times New Roman"/>
          <w:b/>
          <w:i/>
          <w:color w:val="000000" w:themeColor="text1"/>
          <w:sz w:val="28"/>
        </w:rPr>
      </w:pPr>
    </w:p>
    <w:p w14:paraId="2D2D1D93" w14:textId="77777777" w:rsidR="008521EC" w:rsidRDefault="009F43EC">
      <w:pPr>
        <w:pStyle w:val="af0"/>
        <w:ind w:firstLine="709"/>
        <w:jc w:val="center"/>
      </w:pPr>
      <w:r>
        <w:rPr>
          <w:rFonts w:ascii="Times New Roman" w:eastAsia="Times New Roman" w:hAnsi="Times New Roman" w:cs="Times New Roman"/>
          <w:b/>
          <w:i/>
          <w:color w:val="000000" w:themeColor="text1"/>
          <w:sz w:val="28"/>
        </w:rPr>
        <w:t>4</w:t>
      </w:r>
    </w:p>
    <w:p w14:paraId="36D466F2" w14:textId="77777777" w:rsidR="008521EC" w:rsidRDefault="008521EC">
      <w:pPr>
        <w:pStyle w:val="af0"/>
        <w:ind w:firstLine="709"/>
        <w:jc w:val="center"/>
        <w:rPr>
          <w:rFonts w:ascii="Times New Roman" w:eastAsia="Times New Roman" w:hAnsi="Times New Roman" w:cs="Times New Roman"/>
          <w:b/>
          <w:i/>
          <w:color w:val="000000" w:themeColor="text1"/>
          <w:sz w:val="28"/>
        </w:rPr>
      </w:pPr>
    </w:p>
    <w:p w14:paraId="0D7E23E4" w14:textId="77777777" w:rsidR="008521EC" w:rsidRDefault="009F43EC">
      <w:pPr>
        <w:pStyle w:val="af0"/>
        <w:ind w:firstLine="709"/>
        <w:jc w:val="center"/>
      </w:pPr>
      <w:r>
        <w:rPr>
          <w:rFonts w:ascii="Times New Roman" w:eastAsia="Times New Roman" w:hAnsi="Times New Roman" w:cs="Times New Roman"/>
          <w:b/>
          <w:i/>
          <w:color w:val="000000" w:themeColor="text1"/>
          <w:sz w:val="28"/>
        </w:rPr>
        <w:t>Что делать при наступлении страхового случая?</w:t>
      </w:r>
    </w:p>
    <w:p w14:paraId="3B338A5D"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 агростраховании с господдержкой страховой случай — это утрата  застрахованных сельхозкультур, животных или объектов товарной  аквакультуры, которая произошла в результате событий, указанных в  страховом договоре. Определение страхового случая и описание  застрахованных рисков содержатся в Правилах страхования, которые  прилагаются к договору.</w:t>
      </w:r>
    </w:p>
    <w:p w14:paraId="434FF5E4"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Чтобы у страховой компании возникла ответственность по возмещению убытка, должны быть соблюдены два обязательных условия:</w:t>
      </w:r>
    </w:p>
    <w:p w14:paraId="6D98F914" w14:textId="77777777" w:rsidR="008521EC" w:rsidRDefault="009F43EC">
      <w:pPr>
        <w:pStyle w:val="af0"/>
        <w:numPr>
          <w:ilvl w:val="0"/>
          <w:numId w:val="6"/>
        </w:numPr>
        <w:ind w:left="0" w:firstLine="349"/>
        <w:jc w:val="both"/>
        <w:rPr>
          <w:rFonts w:ascii="Times New Roman" w:eastAsia="Times New Roman" w:hAnsi="Times New Roman" w:cs="Times New Roman"/>
          <w:sz w:val="28"/>
        </w:rPr>
      </w:pPr>
      <w:r>
        <w:rPr>
          <w:rFonts w:ascii="Times New Roman" w:eastAsia="Times New Roman" w:hAnsi="Times New Roman" w:cs="Times New Roman"/>
          <w:sz w:val="28"/>
        </w:rPr>
        <w:t xml:space="preserve">с  застрахованным объектом – посевами, посадками, поголовьем или рыбой –  должно что-то произойти: одно или несколько событий, приводящие </w:t>
      </w:r>
      <w:r>
        <w:rPr>
          <w:rFonts w:ascii="Times New Roman" w:eastAsia="Times New Roman" w:hAnsi="Times New Roman" w:cs="Times New Roman"/>
          <w:b/>
          <w:sz w:val="28"/>
        </w:rPr>
        <w:t>к полной  или частичной потере</w:t>
      </w:r>
      <w:r>
        <w:rPr>
          <w:rFonts w:ascii="Times New Roman" w:eastAsia="Times New Roman" w:hAnsi="Times New Roman" w:cs="Times New Roman"/>
          <w:sz w:val="28"/>
        </w:rPr>
        <w:t xml:space="preserve"> этих объектов. </w:t>
      </w:r>
    </w:p>
    <w:p w14:paraId="20985886" w14:textId="77777777" w:rsidR="008521EC" w:rsidRDefault="009F43EC">
      <w:pPr>
        <w:pStyle w:val="af0"/>
        <w:ind w:left="349"/>
        <w:jc w:val="both"/>
        <w:rPr>
          <w:rFonts w:ascii="Times New Roman" w:eastAsia="Times New Roman" w:hAnsi="Times New Roman" w:cs="Times New Roman"/>
          <w:sz w:val="28"/>
        </w:rPr>
      </w:pPr>
      <w:r>
        <w:rPr>
          <w:rFonts w:ascii="Times New Roman" w:eastAsia="Times New Roman" w:hAnsi="Times New Roman" w:cs="Times New Roman"/>
          <w:sz w:val="28"/>
        </w:rPr>
        <w:t xml:space="preserve">2.они должны наблюдаться </w:t>
      </w:r>
      <w:r>
        <w:rPr>
          <w:rFonts w:ascii="Times New Roman" w:eastAsia="Times New Roman" w:hAnsi="Times New Roman" w:cs="Times New Roman"/>
          <w:b/>
          <w:sz w:val="28"/>
        </w:rPr>
        <w:t>в период  страхования и на территории страхования</w:t>
      </w:r>
      <w:r>
        <w:rPr>
          <w:rFonts w:ascii="Times New Roman" w:eastAsia="Times New Roman" w:hAnsi="Times New Roman" w:cs="Times New Roman"/>
          <w:sz w:val="28"/>
        </w:rPr>
        <w:t>.</w:t>
      </w:r>
    </w:p>
    <w:p w14:paraId="0F88C1A8"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Эти события должны  соответствовать критериям тех событий, от которых по договору обеспечена  страховая защита – то есть, они являются страховыми событиями.</w:t>
      </w:r>
    </w:p>
    <w:p w14:paraId="0C7A0D9F"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Описание  страховых событий и их критерии, а также иные условия для получения  страховой выплаты содержатся в соответствующих разделах правил  страхования, с которыми необходимо ознакомиться на этапе заключения  договора. В том числе, в правилах указана обязанность как  застрахованного агрария, так и страховщика выполнять при наступлении  убытка определенные действия.</w:t>
      </w:r>
    </w:p>
    <w:p w14:paraId="41693A18" w14:textId="77777777" w:rsidR="008521EC" w:rsidRDefault="009F43EC">
      <w:pPr>
        <w:pStyle w:val="af0"/>
        <w:ind w:firstLine="709"/>
        <w:jc w:val="both"/>
      </w:pPr>
      <w:r>
        <w:rPr>
          <w:rFonts w:ascii="Times New Roman" w:eastAsia="Times New Roman" w:hAnsi="Times New Roman" w:cs="Times New Roman"/>
          <w:sz w:val="28"/>
        </w:rPr>
        <w:t>Когда такое событие происходит,  страховая компания совместно с застрахованным аграрием проводит  выяснение его обстоятельств и размера ущерба. Если подтверждается, что  застрахованный риск действительно реализовался, страховая компания  производит урегулирование страхового случая: оценивает убыток,  производит расчет страховой выплаты и перечисляет ее хозяйству.</w:t>
      </w:r>
    </w:p>
    <w:p w14:paraId="7CE6806F" w14:textId="77777777" w:rsidR="008521EC" w:rsidRDefault="009F43EC">
      <w:pPr>
        <w:pStyle w:val="af0"/>
        <w:ind w:firstLine="709"/>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themeColor="text1"/>
          <w:sz w:val="28"/>
        </w:rPr>
        <w:t>Мультириск</w:t>
      </w:r>
    </w:p>
    <w:p w14:paraId="31DA1ABC" w14:textId="77777777" w:rsidR="008521EC" w:rsidRDefault="008521EC">
      <w:pPr>
        <w:pStyle w:val="af0"/>
        <w:ind w:firstLine="709"/>
        <w:rPr>
          <w:rFonts w:ascii="Times New Roman" w:eastAsia="Times New Roman" w:hAnsi="Times New Roman" w:cs="Times New Roman"/>
          <w:sz w:val="28"/>
        </w:rPr>
      </w:pPr>
    </w:p>
    <w:p w14:paraId="1740743E"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Уведомить страховую компанию в день возникновения события</w:t>
      </w:r>
      <w:r>
        <w:rPr>
          <w:rFonts w:ascii="Times New Roman" w:eastAsia="Times New Roman" w:hAnsi="Times New Roman" w:cs="Times New Roman"/>
          <w:sz w:val="28"/>
        </w:rPr>
        <w:t xml:space="preserve"> - Сообщите об этом страховщикам, контакты страховщика указаны в договоре страхования.</w:t>
      </w:r>
    </w:p>
    <w:p w14:paraId="1EB82F1D" w14:textId="77777777" w:rsidR="008521EC" w:rsidRDefault="008521EC">
      <w:pPr>
        <w:pStyle w:val="af0"/>
        <w:ind w:firstLine="709"/>
        <w:jc w:val="both"/>
        <w:rPr>
          <w:rFonts w:ascii="Times New Roman" w:eastAsia="Times New Roman" w:hAnsi="Times New Roman" w:cs="Times New Roman"/>
          <w:sz w:val="21"/>
          <w:szCs w:val="21"/>
        </w:rPr>
      </w:pPr>
    </w:p>
    <w:p w14:paraId="1AF4350B"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Следовать рекомендациям  страховщика</w:t>
      </w:r>
      <w:r>
        <w:rPr>
          <w:rFonts w:ascii="Times New Roman" w:eastAsia="Times New Roman" w:hAnsi="Times New Roman" w:cs="Times New Roman"/>
          <w:sz w:val="28"/>
        </w:rPr>
        <w:t>, в том числе принимайте меры для уменьшения возможных убытков</w:t>
      </w:r>
    </w:p>
    <w:p w14:paraId="25A3A1BE" w14:textId="77777777" w:rsidR="008521EC" w:rsidRDefault="008521EC">
      <w:pPr>
        <w:pStyle w:val="af0"/>
        <w:ind w:firstLine="709"/>
        <w:jc w:val="both"/>
        <w:rPr>
          <w:rFonts w:ascii="Times New Roman" w:eastAsia="Times New Roman" w:hAnsi="Times New Roman" w:cs="Times New Roman"/>
          <w:sz w:val="21"/>
          <w:szCs w:val="21"/>
        </w:rPr>
      </w:pPr>
    </w:p>
    <w:p w14:paraId="1180B916"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Уведомить об уборке</w:t>
      </w:r>
      <w:r>
        <w:rPr>
          <w:rFonts w:ascii="Times New Roman" w:eastAsia="Times New Roman" w:hAnsi="Times New Roman" w:cs="Times New Roman"/>
          <w:sz w:val="28"/>
        </w:rPr>
        <w:t xml:space="preserve"> урожая с застрахованной площади - Не менее чем за 10 дней сообщите СК о планируемой уборке урожая</w:t>
      </w:r>
    </w:p>
    <w:p w14:paraId="12494A46" w14:textId="77777777" w:rsidR="008521EC" w:rsidRDefault="008521EC">
      <w:pPr>
        <w:pStyle w:val="af0"/>
        <w:ind w:firstLine="709"/>
        <w:jc w:val="both"/>
        <w:rPr>
          <w:rFonts w:ascii="Times New Roman" w:eastAsia="Times New Roman" w:hAnsi="Times New Roman" w:cs="Times New Roman"/>
          <w:sz w:val="21"/>
          <w:szCs w:val="21"/>
        </w:rPr>
      </w:pPr>
    </w:p>
    <w:p w14:paraId="20B32BA2"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Обследовать посев</w:t>
      </w:r>
      <w:r>
        <w:rPr>
          <w:rFonts w:ascii="Times New Roman" w:eastAsia="Times New Roman" w:hAnsi="Times New Roman" w:cs="Times New Roman"/>
          <w:sz w:val="28"/>
        </w:rPr>
        <w:t xml:space="preserve">ы - Дать возможность эксперту от страховой обследовать посевы и определить урожайность </w:t>
      </w:r>
    </w:p>
    <w:p w14:paraId="149DB547" w14:textId="77777777" w:rsidR="008521EC" w:rsidRDefault="009F43EC">
      <w:pPr>
        <w:pStyle w:val="af0"/>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ЧС</w:t>
      </w:r>
    </w:p>
    <w:p w14:paraId="01402CF4" w14:textId="77777777" w:rsidR="008521EC" w:rsidRDefault="008521EC">
      <w:pPr>
        <w:pStyle w:val="af0"/>
        <w:ind w:firstLine="709"/>
        <w:jc w:val="both"/>
        <w:rPr>
          <w:rFonts w:ascii="Times New Roman" w:eastAsia="Times New Roman" w:hAnsi="Times New Roman" w:cs="Times New Roman"/>
          <w:sz w:val="28"/>
        </w:rPr>
      </w:pPr>
    </w:p>
    <w:p w14:paraId="16093D0C"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lastRenderedPageBreak/>
        <w:t xml:space="preserve">Уведомить орган управления АПК субъекта и страховую - </w:t>
      </w:r>
      <w:r>
        <w:rPr>
          <w:rFonts w:ascii="Times New Roman" w:eastAsia="Times New Roman" w:hAnsi="Times New Roman" w:cs="Times New Roman"/>
          <w:sz w:val="28"/>
        </w:rPr>
        <w:t xml:space="preserve">Незамедлительно уведомите орган управления АПК субъекта для включения вас в списки пострадавших от ЧС. Также сразу уведомите страховщика любым способом в день возникновения события, а затем в течение 3 рабочих дней – письменно. </w:t>
      </w:r>
    </w:p>
    <w:p w14:paraId="7B77B5DF" w14:textId="77777777" w:rsidR="008521EC" w:rsidRDefault="009F43EC">
      <w:pPr>
        <w:pStyle w:val="af0"/>
        <w:ind w:firstLine="709"/>
        <w:jc w:val="center"/>
        <w:rPr>
          <w:rFonts w:ascii="Times New Roman" w:eastAsia="Times New Roman" w:hAnsi="Times New Roman" w:cs="Times New Roman"/>
          <w:sz w:val="28"/>
        </w:rPr>
      </w:pPr>
      <w:r>
        <w:rPr>
          <w:rFonts w:ascii="Times New Roman" w:eastAsia="Times New Roman" w:hAnsi="Times New Roman" w:cs="Times New Roman"/>
          <w:sz w:val="28"/>
        </w:rPr>
        <w:t>5</w:t>
      </w:r>
    </w:p>
    <w:p w14:paraId="3A89206A" w14:textId="77777777" w:rsidR="008521EC" w:rsidRDefault="008521EC">
      <w:pPr>
        <w:pStyle w:val="af0"/>
        <w:ind w:firstLine="709"/>
        <w:jc w:val="center"/>
        <w:rPr>
          <w:rFonts w:ascii="Times New Roman" w:eastAsia="Times New Roman" w:hAnsi="Times New Roman" w:cs="Times New Roman"/>
          <w:sz w:val="28"/>
        </w:rPr>
      </w:pPr>
    </w:p>
    <w:p w14:paraId="39AD500F" w14:textId="77777777" w:rsidR="008521EC" w:rsidRDefault="009F43EC">
      <w:pPr>
        <w:pStyle w:val="af0"/>
        <w:ind w:firstLine="709"/>
        <w:rPr>
          <w:rFonts w:ascii="Times New Roman" w:eastAsia="Times New Roman" w:hAnsi="Times New Roman" w:cs="Times New Roman"/>
          <w:b/>
          <w:sz w:val="28"/>
        </w:rPr>
      </w:pPr>
      <w:r>
        <w:rPr>
          <w:rFonts w:ascii="Times New Roman" w:eastAsia="Times New Roman" w:hAnsi="Times New Roman" w:cs="Times New Roman"/>
          <w:b/>
          <w:sz w:val="28"/>
        </w:rPr>
        <w:t xml:space="preserve">Обследовать посевы с комиссией по ЧС - </w:t>
      </w:r>
      <w:r>
        <w:rPr>
          <w:rFonts w:ascii="Times New Roman" w:eastAsia="Times New Roman" w:hAnsi="Times New Roman" w:cs="Times New Roman"/>
          <w:sz w:val="28"/>
        </w:rPr>
        <w:t xml:space="preserve">Дождитесь обследования поврежденных посевов комиссией по ЧС, примите участие в этом обследовании и направьте составленные комиссией акты страховщику. </w:t>
      </w:r>
    </w:p>
    <w:p w14:paraId="48E52937" w14:textId="77777777" w:rsidR="008521EC" w:rsidRDefault="008521EC">
      <w:pPr>
        <w:pStyle w:val="af0"/>
        <w:ind w:firstLine="709"/>
        <w:rPr>
          <w:rFonts w:ascii="Times New Roman" w:eastAsia="Times New Roman" w:hAnsi="Times New Roman" w:cs="Times New Roman"/>
          <w:sz w:val="28"/>
        </w:rPr>
      </w:pPr>
    </w:p>
    <w:p w14:paraId="1A6AEDB0" w14:textId="77777777" w:rsidR="008521EC" w:rsidRDefault="009F43EC">
      <w:pPr>
        <w:pStyle w:val="af0"/>
        <w:ind w:firstLine="709"/>
        <w:rPr>
          <w:rFonts w:ascii="Times New Roman" w:eastAsia="Times New Roman" w:hAnsi="Times New Roman" w:cs="Times New Roman"/>
          <w:sz w:val="28"/>
        </w:rPr>
      </w:pPr>
      <w:r>
        <w:rPr>
          <w:rFonts w:ascii="Times New Roman" w:eastAsia="Times New Roman" w:hAnsi="Times New Roman" w:cs="Times New Roman"/>
          <w:b/>
          <w:sz w:val="28"/>
        </w:rPr>
        <w:t>Следуйте рекомендациям страховщика</w:t>
      </w:r>
      <w:r>
        <w:rPr>
          <w:rFonts w:ascii="Times New Roman" w:eastAsia="Times New Roman" w:hAnsi="Times New Roman" w:cs="Times New Roman"/>
          <w:sz w:val="28"/>
        </w:rPr>
        <w:t xml:space="preserve">,- зафиксируйте событие с помощью фото и видео, принимайте меры для уменьшения убытков. </w:t>
      </w:r>
    </w:p>
    <w:p w14:paraId="132D3016" w14:textId="77777777" w:rsidR="008521EC" w:rsidRDefault="008521EC">
      <w:pPr>
        <w:pStyle w:val="af0"/>
        <w:ind w:firstLine="709"/>
        <w:rPr>
          <w:rFonts w:ascii="Times New Roman" w:eastAsia="Times New Roman" w:hAnsi="Times New Roman" w:cs="Times New Roman"/>
          <w:sz w:val="28"/>
        </w:rPr>
      </w:pPr>
    </w:p>
    <w:p w14:paraId="479A89D8" w14:textId="77777777" w:rsidR="008521EC" w:rsidRDefault="009F43EC">
      <w:pPr>
        <w:pStyle w:val="af0"/>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Обследовать посевы с представителем страховщика (при необходимости)-</w:t>
      </w:r>
      <w:r>
        <w:rPr>
          <w:rFonts w:ascii="Times New Roman" w:eastAsia="Times New Roman" w:hAnsi="Times New Roman" w:cs="Times New Roman"/>
          <w:color w:val="000000"/>
          <w:sz w:val="28"/>
        </w:rPr>
        <w:t>Сведения из акта обследования при ЧС подтверждаются космомониторингом либо путем обследования с участием представителей Страховой компании.</w:t>
      </w:r>
    </w:p>
    <w:p w14:paraId="0EA6F2BF" w14:textId="77777777" w:rsidR="008521EC" w:rsidRDefault="008521EC">
      <w:pPr>
        <w:spacing w:after="0" w:line="330" w:lineRule="atLeast"/>
        <w:jc w:val="center"/>
        <w:rPr>
          <w:rFonts w:ascii="Times New Roman" w:eastAsia="Times New Roman" w:hAnsi="Times New Roman" w:cs="Times New Roman"/>
          <w:b/>
          <w:color w:val="000000"/>
          <w:sz w:val="28"/>
        </w:rPr>
      </w:pPr>
    </w:p>
    <w:p w14:paraId="35BB439B" w14:textId="77777777" w:rsidR="008521EC" w:rsidRDefault="009F43EC">
      <w:pPr>
        <w:spacing w:after="0" w:line="330" w:lineRule="atLeast"/>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КАК ВЫБРАТЬ   СТРАХОВУЮ ФРАНШИЗУ  ДЛЯ СТРАХОВАНИЯ </w:t>
      </w:r>
    </w:p>
    <w:p w14:paraId="6C1D7051" w14:textId="77777777" w:rsidR="008521EC" w:rsidRDefault="009F43EC">
      <w:pPr>
        <w:spacing w:after="0" w:line="330" w:lineRule="atLeast"/>
        <w:jc w:val="cente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С ГОСУДАРСТВЕННОЙ ПОДДЕРЖКОЙ </w:t>
      </w:r>
    </w:p>
    <w:p w14:paraId="406AB98E" w14:textId="77777777" w:rsidR="008521EC" w:rsidRDefault="008521EC">
      <w:pPr>
        <w:pStyle w:val="af0"/>
        <w:rPr>
          <w:rFonts w:ascii="Times New Roman" w:eastAsia="Times New Roman" w:hAnsi="Times New Roman" w:cs="Times New Roman"/>
          <w:sz w:val="28"/>
        </w:rPr>
      </w:pPr>
    </w:p>
    <w:p w14:paraId="595D463D" w14:textId="77777777" w:rsidR="008521EC" w:rsidRDefault="009F43EC">
      <w:pPr>
        <w:pStyle w:val="af0"/>
        <w:jc w:val="both"/>
        <w:rPr>
          <w:rFonts w:ascii="Times New Roman" w:eastAsia="Times New Roman" w:hAnsi="Times New Roman" w:cs="Times New Roman"/>
          <w:sz w:val="28"/>
        </w:rPr>
      </w:pPr>
      <w:r>
        <w:rPr>
          <w:rFonts w:ascii="Times New Roman" w:eastAsia="Times New Roman" w:hAnsi="Times New Roman" w:cs="Times New Roman"/>
          <w:sz w:val="28"/>
        </w:rPr>
        <w:tab/>
        <w:t>Страховая франшиза – это способ уменьшить стоимость страхового полиса за счет разделения риска со страховой компанией.</w:t>
      </w:r>
    </w:p>
    <w:p w14:paraId="6A5C8134" w14:textId="77777777" w:rsidR="008521EC" w:rsidRDefault="009F43EC">
      <w:pPr>
        <w:pStyle w:val="af0"/>
        <w:ind w:firstLine="680"/>
        <w:jc w:val="both"/>
      </w:pPr>
      <w:r>
        <w:rPr>
          <w:rFonts w:ascii="Times New Roman" w:eastAsia="Times New Roman" w:hAnsi="Times New Roman" w:cs="Times New Roman"/>
          <w:sz w:val="28"/>
        </w:rPr>
        <w:tab/>
        <w:t>В договорах агрострахования с господдержкой применяется безусловная страховая франшиза. Это означает, что размер франшизы будет вычитаться из суммы страховой выплаты после ее расчета.</w:t>
      </w:r>
    </w:p>
    <w:p w14:paraId="79D58912" w14:textId="77777777" w:rsidR="008521EC" w:rsidRDefault="009F43EC">
      <w:pPr>
        <w:pStyle w:val="af0"/>
        <w:jc w:val="both"/>
      </w:pPr>
      <w:r>
        <w:rPr>
          <w:rFonts w:ascii="Times New Roman" w:eastAsia="Times New Roman" w:hAnsi="Times New Roman" w:cs="Times New Roman"/>
          <w:sz w:val="28"/>
        </w:rPr>
        <w:tab/>
        <w:t>Какой размер франшизы указать в страховом договоре, должен выбрать на этапе его заключения сам сельхозпроизводитель, исходя из потребности в страховой защите. При этом, если договор заключается с господдержой, выбрать размер франшизы возможно только в пределах коридора, установленного Законом о господдержке агрострахования №260-ФЗ. Для направления мультирискового страхования урожая размер франшизы от 10 до 50%.</w:t>
      </w:r>
    </w:p>
    <w:p w14:paraId="0FF867EF" w14:textId="77777777" w:rsidR="008521EC" w:rsidRDefault="009F43EC">
      <w:pPr>
        <w:pStyle w:val="af0"/>
        <w:jc w:val="both"/>
      </w:pPr>
      <w:r>
        <w:rPr>
          <w:rFonts w:ascii="Times New Roman" w:eastAsia="Times New Roman" w:hAnsi="Times New Roman" w:cs="Times New Roman"/>
          <w:sz w:val="28"/>
        </w:rPr>
        <w:tab/>
        <w:t>Выбор предпочитаемого варианта франшиз зависит от характера рисков конкретного хозяйства.</w:t>
      </w:r>
    </w:p>
    <w:p w14:paraId="47B800FC" w14:textId="77777777" w:rsidR="008521EC" w:rsidRDefault="009F43EC">
      <w:pPr>
        <w:pStyle w:val="af0"/>
        <w:jc w:val="both"/>
      </w:pPr>
      <w:r>
        <w:rPr>
          <w:rFonts w:ascii="Times New Roman" w:eastAsia="Times New Roman" w:hAnsi="Times New Roman" w:cs="Times New Roman"/>
          <w:sz w:val="28"/>
        </w:rPr>
        <w:br/>
      </w:r>
      <w:r>
        <w:rPr>
          <w:rFonts w:ascii="Times New Roman" w:eastAsia="Times New Roman" w:hAnsi="Times New Roman" w:cs="Times New Roman"/>
          <w:sz w:val="28"/>
        </w:rPr>
        <w:tab/>
        <w:t>Если вероятность убытков – высокая, но потери скорее всего будут составлять относительно не очень большую долю застрахованного имущества, устанавливать высокую франшизу нецелесообразно – убытки окажутся в её пределах, и страховая выплата не будет начислена или будет небольшой по сравнению с величиной ущерба. В этом случае экономить на стоимости страхования лучше с помощью снижения страховой суммы.</w:t>
      </w:r>
    </w:p>
    <w:p w14:paraId="790A901F" w14:textId="77777777" w:rsidR="008521EC" w:rsidRDefault="009F43EC">
      <w:pPr>
        <w:pStyle w:val="af0"/>
        <w:jc w:val="both"/>
      </w:pPr>
      <w:r>
        <w:rPr>
          <w:rFonts w:ascii="Times New Roman" w:eastAsia="Times New Roman" w:hAnsi="Times New Roman" w:cs="Times New Roman"/>
          <w:sz w:val="28"/>
        </w:rPr>
        <w:tab/>
        <w:t xml:space="preserve">Если небольшие убытки не особенно беспокоят, а страхование необходимо для компенсации таких потерь, которые могут составить более половины застрахованного имущества или привести к его полной гибели, – тогда сэкономить можно за счет более высокой франшизы. Такое страхование будет максимально доступным по цене. При этом при небольших убытках страховых выплат не будет, но полис обеспечит хозяйству поддержку при катастрофическом развитии ситуации </w:t>
      </w:r>
      <w:r>
        <w:rPr>
          <w:rFonts w:ascii="Times New Roman" w:eastAsia="Times New Roman" w:hAnsi="Times New Roman" w:cs="Times New Roman"/>
          <w:sz w:val="28"/>
        </w:rPr>
        <w:lastRenderedPageBreak/>
        <w:t>— например, полной потере урожая от аномальной засухи или масштабных заморозков.</w:t>
      </w:r>
    </w:p>
    <w:sectPr w:rsidR="008521EC">
      <w:pgSz w:w="11906" w:h="16838"/>
      <w:pgMar w:top="425" w:right="567" w:bottom="681" w:left="1276"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T Astra Serif">
    <w:altName w:val="Arial"/>
    <w:charset w:val="01"/>
    <w:family w:val="roman"/>
    <w:pitch w:val="default"/>
  </w:font>
  <w:font w:name="Noto Sans Devanagari">
    <w:altName w:val="Cambria"/>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E5815"/>
    <w:multiLevelType w:val="multilevel"/>
    <w:tmpl w:val="B16C2548"/>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23CE5B81"/>
    <w:multiLevelType w:val="multilevel"/>
    <w:tmpl w:val="5A5E1EA4"/>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
    <w:nsid w:val="27B92962"/>
    <w:multiLevelType w:val="multilevel"/>
    <w:tmpl w:val="954618D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nsid w:val="34CC301F"/>
    <w:multiLevelType w:val="multilevel"/>
    <w:tmpl w:val="8BD4E5AC"/>
    <w:lvl w:ilvl="0">
      <w:start w:val="1"/>
      <w:numFmt w:val="bullet"/>
      <w:lvlText w:val="·"/>
      <w:lvlJc w:val="left"/>
      <w:pPr>
        <w:ind w:left="709" w:hanging="360"/>
      </w:pPr>
      <w:rPr>
        <w:rFonts w:ascii="Symbol" w:hAnsi="Symbol" w:cs="Symbol" w:hint="default"/>
        <w:sz w:val="28"/>
      </w:rPr>
    </w:lvl>
    <w:lvl w:ilvl="1">
      <w:start w:val="1"/>
      <w:numFmt w:val="bullet"/>
      <w:lvlText w:val="·"/>
      <w:lvlJc w:val="left"/>
      <w:pPr>
        <w:ind w:left="1429" w:hanging="360"/>
      </w:pPr>
      <w:rPr>
        <w:rFonts w:ascii="Symbol" w:hAnsi="Symbol" w:cs="Symbol" w:hint="default"/>
      </w:rPr>
    </w:lvl>
    <w:lvl w:ilvl="2">
      <w:start w:val="1"/>
      <w:numFmt w:val="bullet"/>
      <w:lvlText w:val="·"/>
      <w:lvlJc w:val="left"/>
      <w:pPr>
        <w:ind w:left="2149" w:hanging="360"/>
      </w:pPr>
      <w:rPr>
        <w:rFonts w:ascii="Symbol" w:hAnsi="Symbol" w:cs="Symbol" w:hint="default"/>
      </w:rPr>
    </w:lvl>
    <w:lvl w:ilvl="3">
      <w:start w:val="1"/>
      <w:numFmt w:val="bullet"/>
      <w:lvlText w:val="·"/>
      <w:lvlJc w:val="left"/>
      <w:pPr>
        <w:ind w:left="2869" w:hanging="360"/>
      </w:pPr>
      <w:rPr>
        <w:rFonts w:ascii="Symbol" w:hAnsi="Symbol" w:cs="Symbol" w:hint="default"/>
      </w:rPr>
    </w:lvl>
    <w:lvl w:ilvl="4">
      <w:start w:val="1"/>
      <w:numFmt w:val="bullet"/>
      <w:lvlText w:val="·"/>
      <w:lvlJc w:val="left"/>
      <w:pPr>
        <w:ind w:left="3589" w:hanging="360"/>
      </w:pPr>
      <w:rPr>
        <w:rFonts w:ascii="Symbol" w:hAnsi="Symbol" w:cs="Symbol" w:hint="default"/>
      </w:rPr>
    </w:lvl>
    <w:lvl w:ilvl="5">
      <w:start w:val="1"/>
      <w:numFmt w:val="bullet"/>
      <w:lvlText w:val="·"/>
      <w:lvlJc w:val="left"/>
      <w:pPr>
        <w:ind w:left="4309" w:hanging="360"/>
      </w:pPr>
      <w:rPr>
        <w:rFonts w:ascii="Symbol" w:hAnsi="Symbol" w:cs="Symbol" w:hint="default"/>
      </w:rPr>
    </w:lvl>
    <w:lvl w:ilvl="6">
      <w:start w:val="1"/>
      <w:numFmt w:val="bullet"/>
      <w:lvlText w:val="·"/>
      <w:lvlJc w:val="left"/>
      <w:pPr>
        <w:ind w:left="5029" w:hanging="360"/>
      </w:pPr>
      <w:rPr>
        <w:rFonts w:ascii="Symbol" w:hAnsi="Symbol" w:cs="Symbol" w:hint="default"/>
      </w:rPr>
    </w:lvl>
    <w:lvl w:ilvl="7">
      <w:start w:val="1"/>
      <w:numFmt w:val="bullet"/>
      <w:lvlText w:val="·"/>
      <w:lvlJc w:val="left"/>
      <w:pPr>
        <w:ind w:left="5749" w:hanging="360"/>
      </w:pPr>
      <w:rPr>
        <w:rFonts w:ascii="Symbol" w:hAnsi="Symbol" w:cs="Symbol" w:hint="default"/>
      </w:rPr>
    </w:lvl>
    <w:lvl w:ilvl="8">
      <w:start w:val="1"/>
      <w:numFmt w:val="bullet"/>
      <w:lvlText w:val="·"/>
      <w:lvlJc w:val="left"/>
      <w:pPr>
        <w:ind w:left="6469" w:hanging="360"/>
      </w:pPr>
      <w:rPr>
        <w:rFonts w:ascii="Symbol" w:hAnsi="Symbol" w:cs="Symbol" w:hint="default"/>
      </w:rPr>
    </w:lvl>
  </w:abstractNum>
  <w:abstractNum w:abstractNumId="4">
    <w:nsid w:val="3F6B2C66"/>
    <w:multiLevelType w:val="multilevel"/>
    <w:tmpl w:val="2202ED38"/>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3F9D21CE"/>
    <w:multiLevelType w:val="multilevel"/>
    <w:tmpl w:val="3DEAACE6"/>
    <w:lvl w:ilvl="0">
      <w:start w:val="1"/>
      <w:numFmt w:val="bullet"/>
      <w:lvlText w:val="·"/>
      <w:lvlJc w:val="left"/>
      <w:pPr>
        <w:ind w:left="709" w:hanging="360"/>
      </w:pPr>
      <w:rPr>
        <w:rFonts w:ascii="Symbol" w:hAnsi="Symbol" w:cs="Symbol" w:hint="default"/>
        <w:sz w:val="28"/>
      </w:rPr>
    </w:lvl>
    <w:lvl w:ilvl="1">
      <w:start w:val="1"/>
      <w:numFmt w:val="bullet"/>
      <w:lvlText w:val="·"/>
      <w:lvlJc w:val="left"/>
      <w:pPr>
        <w:ind w:left="1429" w:hanging="360"/>
      </w:pPr>
      <w:rPr>
        <w:rFonts w:ascii="Symbol" w:hAnsi="Symbol" w:cs="Symbol" w:hint="default"/>
      </w:rPr>
    </w:lvl>
    <w:lvl w:ilvl="2">
      <w:start w:val="1"/>
      <w:numFmt w:val="bullet"/>
      <w:lvlText w:val="·"/>
      <w:lvlJc w:val="left"/>
      <w:pPr>
        <w:ind w:left="2149" w:hanging="360"/>
      </w:pPr>
      <w:rPr>
        <w:rFonts w:ascii="Symbol" w:hAnsi="Symbol" w:cs="Symbol" w:hint="default"/>
      </w:rPr>
    </w:lvl>
    <w:lvl w:ilvl="3">
      <w:start w:val="1"/>
      <w:numFmt w:val="bullet"/>
      <w:lvlText w:val="·"/>
      <w:lvlJc w:val="left"/>
      <w:pPr>
        <w:ind w:left="2869" w:hanging="360"/>
      </w:pPr>
      <w:rPr>
        <w:rFonts w:ascii="Symbol" w:hAnsi="Symbol" w:cs="Symbol" w:hint="default"/>
      </w:rPr>
    </w:lvl>
    <w:lvl w:ilvl="4">
      <w:start w:val="1"/>
      <w:numFmt w:val="bullet"/>
      <w:lvlText w:val="·"/>
      <w:lvlJc w:val="left"/>
      <w:pPr>
        <w:ind w:left="3589" w:hanging="360"/>
      </w:pPr>
      <w:rPr>
        <w:rFonts w:ascii="Symbol" w:hAnsi="Symbol" w:cs="Symbol" w:hint="default"/>
      </w:rPr>
    </w:lvl>
    <w:lvl w:ilvl="5">
      <w:start w:val="1"/>
      <w:numFmt w:val="bullet"/>
      <w:lvlText w:val="·"/>
      <w:lvlJc w:val="left"/>
      <w:pPr>
        <w:ind w:left="4309" w:hanging="360"/>
      </w:pPr>
      <w:rPr>
        <w:rFonts w:ascii="Symbol" w:hAnsi="Symbol" w:cs="Symbol" w:hint="default"/>
      </w:rPr>
    </w:lvl>
    <w:lvl w:ilvl="6">
      <w:start w:val="1"/>
      <w:numFmt w:val="bullet"/>
      <w:lvlText w:val="·"/>
      <w:lvlJc w:val="left"/>
      <w:pPr>
        <w:ind w:left="5029" w:hanging="360"/>
      </w:pPr>
      <w:rPr>
        <w:rFonts w:ascii="Symbol" w:hAnsi="Symbol" w:cs="Symbol" w:hint="default"/>
      </w:rPr>
    </w:lvl>
    <w:lvl w:ilvl="7">
      <w:start w:val="1"/>
      <w:numFmt w:val="bullet"/>
      <w:lvlText w:val="·"/>
      <w:lvlJc w:val="left"/>
      <w:pPr>
        <w:ind w:left="5749" w:hanging="360"/>
      </w:pPr>
      <w:rPr>
        <w:rFonts w:ascii="Symbol" w:hAnsi="Symbol" w:cs="Symbol" w:hint="default"/>
      </w:rPr>
    </w:lvl>
    <w:lvl w:ilvl="8">
      <w:start w:val="1"/>
      <w:numFmt w:val="bullet"/>
      <w:lvlText w:val="·"/>
      <w:lvlJc w:val="left"/>
      <w:pPr>
        <w:ind w:left="6469" w:hanging="360"/>
      </w:pPr>
      <w:rPr>
        <w:rFonts w:ascii="Symbol" w:hAnsi="Symbol" w:cs="Symbol" w:hint="default"/>
      </w:rPr>
    </w:lvl>
  </w:abstractNum>
  <w:abstractNum w:abstractNumId="6">
    <w:nsid w:val="4E01393C"/>
    <w:multiLevelType w:val="multilevel"/>
    <w:tmpl w:val="F9028F0C"/>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nsid w:val="5E9E2B3B"/>
    <w:multiLevelType w:val="multilevel"/>
    <w:tmpl w:val="4566AB18"/>
    <w:lvl w:ilvl="0">
      <w:start w:val="1"/>
      <w:numFmt w:val="decimal"/>
      <w:lvlText w:val="%1)"/>
      <w:lvlJc w:val="left"/>
      <w:pPr>
        <w:ind w:left="709" w:hanging="360"/>
      </w:pPr>
      <w:rPr>
        <w:rFonts w:ascii="Times New Roman" w:hAnsi="Times New Roman"/>
        <w:b/>
        <w:sz w:val="28"/>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8">
    <w:nsid w:val="60863A2F"/>
    <w:multiLevelType w:val="multilevel"/>
    <w:tmpl w:val="A2088FCA"/>
    <w:lvl w:ilvl="0">
      <w:start w:val="1"/>
      <w:numFmt w:val="bullet"/>
      <w:lvlText w:val="·"/>
      <w:lvlJc w:val="left"/>
      <w:pPr>
        <w:ind w:left="720" w:hanging="360"/>
      </w:pPr>
      <w:rPr>
        <w:rFonts w:ascii="Symbol" w:hAnsi="Symbol" w:cs="Symbol" w:hint="default"/>
        <w:b/>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nsid w:val="6EA51258"/>
    <w:multiLevelType w:val="multilevel"/>
    <w:tmpl w:val="F0626270"/>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3"/>
  </w:num>
  <w:num w:numId="2">
    <w:abstractNumId w:val="5"/>
  </w:num>
  <w:num w:numId="3">
    <w:abstractNumId w:val="4"/>
  </w:num>
  <w:num w:numId="4">
    <w:abstractNumId w:val="0"/>
  </w:num>
  <w:num w:numId="5">
    <w:abstractNumId w:val="7"/>
  </w:num>
  <w:num w:numId="6">
    <w:abstractNumId w:val="1"/>
  </w:num>
  <w:num w:numId="7">
    <w:abstractNumId w:val="9"/>
  </w:num>
  <w:num w:numId="8">
    <w:abstractNumId w:val="8"/>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1EC"/>
    <w:rsid w:val="008521EC"/>
    <w:rsid w:val="009F43EC"/>
    <w:rsid w:val="00B33E6D"/>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A0008"/>
  <w15:docId w15:val="{3513B097-309F-40DE-8026-6184B54E8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highlight w:val="white"/>
    </w:rPr>
  </w:style>
  <w:style w:type="paragraph" w:styleId="1">
    <w:name w:val="heading 1"/>
    <w:basedOn w:val="a"/>
    <w:next w:val="a"/>
    <w:uiPriority w:val="9"/>
    <w:qFormat/>
    <w:pPr>
      <w:keepNext/>
      <w:keepLines/>
      <w:spacing w:before="480"/>
      <w:outlineLvl w:val="0"/>
    </w:pPr>
    <w:rPr>
      <w:sz w:val="40"/>
      <w:szCs w:val="40"/>
    </w:rPr>
  </w:style>
  <w:style w:type="paragraph" w:styleId="2">
    <w:name w:val="heading 2"/>
    <w:basedOn w:val="a"/>
    <w:next w:val="a"/>
    <w:uiPriority w:val="9"/>
    <w:unhideWhenUsed/>
    <w:qFormat/>
    <w:pPr>
      <w:keepNext/>
      <w:keepLines/>
      <w:spacing w:before="360"/>
      <w:outlineLvl w:val="1"/>
    </w:pPr>
    <w:rPr>
      <w:sz w:val="34"/>
    </w:rPr>
  </w:style>
  <w:style w:type="paragraph" w:styleId="3">
    <w:name w:val="heading 3"/>
    <w:basedOn w:val="a"/>
    <w:next w:val="a"/>
    <w:uiPriority w:val="9"/>
    <w:unhideWhenUsed/>
    <w:qFormat/>
    <w:pPr>
      <w:keepNext/>
      <w:keepLines/>
      <w:spacing w:before="320"/>
      <w:outlineLvl w:val="2"/>
    </w:pPr>
    <w:rPr>
      <w:sz w:val="30"/>
      <w:szCs w:val="30"/>
    </w:rPr>
  </w:style>
  <w:style w:type="paragraph" w:styleId="4">
    <w:name w:val="heading 4"/>
    <w:basedOn w:val="a"/>
    <w:next w:val="a"/>
    <w:uiPriority w:val="9"/>
    <w:unhideWhenUsed/>
    <w:qFormat/>
    <w:pPr>
      <w:keepNext/>
      <w:keepLines/>
      <w:spacing w:before="320"/>
      <w:outlineLvl w:val="3"/>
    </w:pPr>
    <w:rPr>
      <w:b/>
      <w:bCs/>
      <w:sz w:val="26"/>
      <w:szCs w:val="26"/>
    </w:rPr>
  </w:style>
  <w:style w:type="paragraph" w:styleId="5">
    <w:name w:val="heading 5"/>
    <w:basedOn w:val="a"/>
    <w:next w:val="a"/>
    <w:uiPriority w:val="9"/>
    <w:unhideWhenUsed/>
    <w:qFormat/>
    <w:pPr>
      <w:keepNext/>
      <w:keepLines/>
      <w:spacing w:before="320"/>
      <w:outlineLvl w:val="4"/>
    </w:pPr>
    <w:rPr>
      <w:b/>
      <w:bCs/>
      <w:sz w:val="24"/>
      <w:szCs w:val="24"/>
    </w:rPr>
  </w:style>
  <w:style w:type="paragraph" w:styleId="6">
    <w:name w:val="heading 6"/>
    <w:basedOn w:val="a"/>
    <w:next w:val="a"/>
    <w:uiPriority w:val="9"/>
    <w:unhideWhenUsed/>
    <w:qFormat/>
    <w:pPr>
      <w:keepNext/>
      <w:keepLines/>
      <w:spacing w:before="320"/>
      <w:outlineLvl w:val="5"/>
    </w:pPr>
    <w:rPr>
      <w:b/>
      <w:bCs/>
    </w:rPr>
  </w:style>
  <w:style w:type="paragraph" w:styleId="7">
    <w:name w:val="heading 7"/>
    <w:basedOn w:val="a"/>
    <w:next w:val="a"/>
    <w:uiPriority w:val="9"/>
    <w:unhideWhenUsed/>
    <w:qFormat/>
    <w:pPr>
      <w:keepNext/>
      <w:keepLines/>
      <w:spacing w:before="320"/>
      <w:outlineLvl w:val="6"/>
    </w:pPr>
    <w:rPr>
      <w:b/>
      <w:bCs/>
      <w:i/>
      <w:iCs/>
    </w:rPr>
  </w:style>
  <w:style w:type="paragraph" w:styleId="8">
    <w:name w:val="heading 8"/>
    <w:basedOn w:val="a"/>
    <w:next w:val="a"/>
    <w:uiPriority w:val="9"/>
    <w:unhideWhenUsed/>
    <w:qFormat/>
    <w:pPr>
      <w:keepNext/>
      <w:keepLines/>
      <w:spacing w:before="320"/>
      <w:outlineLvl w:val="7"/>
    </w:pPr>
    <w:rPr>
      <w:i/>
      <w:iCs/>
    </w:rPr>
  </w:style>
  <w:style w:type="paragraph" w:styleId="9">
    <w:name w:val="heading 9"/>
    <w:basedOn w:val="a"/>
    <w:next w:val="a"/>
    <w:uiPriority w:val="9"/>
    <w:unhideWhenUsed/>
    <w:qFormat/>
    <w:pPr>
      <w:keepNext/>
      <w:keepLines/>
      <w:spacing w:before="320"/>
      <w:outlineLvl w:val="8"/>
    </w:pPr>
    <w:rPr>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qFormat/>
    <w:rPr>
      <w:rFonts w:ascii="Arial" w:eastAsia="Arial" w:hAnsi="Arial" w:cs="Arial"/>
      <w:sz w:val="40"/>
      <w:szCs w:val="40"/>
    </w:rPr>
  </w:style>
  <w:style w:type="character" w:customStyle="1" w:styleId="Heading2Char">
    <w:name w:val="Heading 2 Char"/>
    <w:uiPriority w:val="9"/>
    <w:qFormat/>
    <w:rPr>
      <w:rFonts w:ascii="Arial" w:eastAsia="Arial" w:hAnsi="Arial" w:cs="Arial"/>
      <w:sz w:val="34"/>
    </w:rPr>
  </w:style>
  <w:style w:type="character" w:customStyle="1" w:styleId="Heading3Char">
    <w:name w:val="Heading 3 Char"/>
    <w:uiPriority w:val="9"/>
    <w:qFormat/>
    <w:rPr>
      <w:rFonts w:ascii="Arial" w:eastAsia="Arial" w:hAnsi="Arial" w:cs="Arial"/>
      <w:sz w:val="30"/>
      <w:szCs w:val="30"/>
    </w:rPr>
  </w:style>
  <w:style w:type="character" w:customStyle="1" w:styleId="Heading4Char">
    <w:name w:val="Heading 4 Char"/>
    <w:uiPriority w:val="9"/>
    <w:qFormat/>
    <w:rPr>
      <w:rFonts w:ascii="Arial" w:eastAsia="Arial" w:hAnsi="Arial" w:cs="Arial"/>
      <w:b/>
      <w:bCs/>
      <w:sz w:val="26"/>
      <w:szCs w:val="26"/>
    </w:rPr>
  </w:style>
  <w:style w:type="character" w:customStyle="1" w:styleId="Heading5Char">
    <w:name w:val="Heading 5 Char"/>
    <w:uiPriority w:val="9"/>
    <w:qFormat/>
    <w:rPr>
      <w:rFonts w:ascii="Arial" w:eastAsia="Arial" w:hAnsi="Arial" w:cs="Arial"/>
      <w:b/>
      <w:bCs/>
      <w:sz w:val="24"/>
      <w:szCs w:val="24"/>
    </w:rPr>
  </w:style>
  <w:style w:type="character" w:customStyle="1" w:styleId="Heading6Char">
    <w:name w:val="Heading 6 Char"/>
    <w:uiPriority w:val="9"/>
    <w:qFormat/>
    <w:rPr>
      <w:rFonts w:ascii="Arial" w:eastAsia="Arial" w:hAnsi="Arial" w:cs="Arial"/>
      <w:b/>
      <w:bCs/>
      <w:sz w:val="22"/>
      <w:szCs w:val="22"/>
    </w:rPr>
  </w:style>
  <w:style w:type="character" w:customStyle="1" w:styleId="Heading7Char">
    <w:name w:val="Heading 7 Char"/>
    <w:uiPriority w:val="9"/>
    <w:qFormat/>
    <w:rPr>
      <w:rFonts w:ascii="Arial" w:eastAsia="Arial" w:hAnsi="Arial" w:cs="Arial"/>
      <w:b/>
      <w:bCs/>
      <w:i/>
      <w:iCs/>
      <w:sz w:val="22"/>
      <w:szCs w:val="22"/>
    </w:rPr>
  </w:style>
  <w:style w:type="character" w:customStyle="1" w:styleId="Heading8Char">
    <w:name w:val="Heading 8 Char"/>
    <w:uiPriority w:val="9"/>
    <w:qFormat/>
    <w:rPr>
      <w:rFonts w:ascii="Arial" w:eastAsia="Arial" w:hAnsi="Arial" w:cs="Arial"/>
      <w:i/>
      <w:iCs/>
      <w:sz w:val="22"/>
      <w:szCs w:val="22"/>
    </w:rPr>
  </w:style>
  <w:style w:type="character" w:customStyle="1" w:styleId="Heading9Char">
    <w:name w:val="Heading 9 Char"/>
    <w:uiPriority w:val="9"/>
    <w:qFormat/>
    <w:rPr>
      <w:rFonts w:ascii="Arial" w:eastAsia="Arial" w:hAnsi="Arial" w:cs="Arial"/>
      <w:i/>
      <w:iCs/>
      <w:sz w:val="21"/>
      <w:szCs w:val="21"/>
    </w:rPr>
  </w:style>
  <w:style w:type="character" w:customStyle="1" w:styleId="TitleChar">
    <w:name w:val="Title Char"/>
    <w:uiPriority w:val="10"/>
    <w:qFormat/>
    <w:rPr>
      <w:sz w:val="48"/>
      <w:szCs w:val="48"/>
    </w:rPr>
  </w:style>
  <w:style w:type="character" w:customStyle="1" w:styleId="SubtitleChar">
    <w:name w:val="Subtitle Char"/>
    <w:uiPriority w:val="11"/>
    <w:qFormat/>
    <w:rPr>
      <w:sz w:val="24"/>
      <w:szCs w:val="24"/>
    </w:rPr>
  </w:style>
  <w:style w:type="character" w:customStyle="1" w:styleId="QuoteChar">
    <w:name w:val="Quote Char"/>
    <w:uiPriority w:val="29"/>
    <w:qFormat/>
    <w:rPr>
      <w:i/>
    </w:rPr>
  </w:style>
  <w:style w:type="character" w:customStyle="1" w:styleId="IntenseQuoteChar">
    <w:name w:val="Intense Quote Char"/>
    <w:uiPriority w:val="30"/>
    <w:qFormat/>
    <w:rPr>
      <w:i/>
    </w:rPr>
  </w:style>
  <w:style w:type="character" w:customStyle="1" w:styleId="HeaderChar">
    <w:name w:val="Header Char"/>
    <w:uiPriority w:val="99"/>
    <w:qFormat/>
  </w:style>
  <w:style w:type="character" w:customStyle="1" w:styleId="FooterChar">
    <w:name w:val="Footer Char"/>
    <w:uiPriority w:val="99"/>
    <w:qFormat/>
  </w:style>
  <w:style w:type="character" w:customStyle="1" w:styleId="-">
    <w:name w:val="Интернет-ссылка"/>
    <w:uiPriority w:val="99"/>
    <w:unhideWhenUsed/>
    <w:rPr>
      <w:color w:val="0563C1" w:themeColor="hyperlink"/>
      <w:u w:val="single"/>
    </w:rPr>
  </w:style>
  <w:style w:type="character" w:customStyle="1" w:styleId="FootnoteTextChar">
    <w:name w:val="Footnote Text Char"/>
    <w:uiPriority w:val="99"/>
    <w:qFormat/>
    <w:rPr>
      <w:sz w:val="18"/>
    </w:rPr>
  </w:style>
  <w:style w:type="character" w:customStyle="1" w:styleId="a3">
    <w:name w:val="Привязка сноски"/>
    <w:rPr>
      <w:vertAlign w:val="superscript"/>
    </w:rPr>
  </w:style>
  <w:style w:type="character" w:customStyle="1" w:styleId="FootnoteCharacters">
    <w:name w:val="Footnote Characters"/>
    <w:uiPriority w:val="99"/>
    <w:unhideWhenUsed/>
    <w:qFormat/>
    <w:rPr>
      <w:vertAlign w:val="superscript"/>
    </w:rPr>
  </w:style>
  <w:style w:type="paragraph" w:styleId="a4">
    <w:name w:val="Title"/>
    <w:basedOn w:val="a"/>
    <w:next w:val="a5"/>
    <w:uiPriority w:val="10"/>
    <w:qFormat/>
    <w:pPr>
      <w:spacing w:before="300"/>
      <w:contextualSpacing/>
    </w:pPr>
    <w:rPr>
      <w:sz w:val="48"/>
      <w:szCs w:val="48"/>
    </w:rPr>
  </w:style>
  <w:style w:type="paragraph" w:styleId="a5">
    <w:name w:val="Body Text"/>
    <w:basedOn w:val="a"/>
    <w:pPr>
      <w:spacing w:after="140"/>
    </w:pPr>
  </w:style>
  <w:style w:type="paragraph" w:styleId="a6">
    <w:name w:val="List"/>
    <w:basedOn w:val="a5"/>
    <w:rPr>
      <w:rFonts w:ascii="PT Astra Serif" w:hAnsi="PT Astra Serif" w:cs="Noto Sans Devanagari"/>
    </w:rPr>
  </w:style>
  <w:style w:type="paragraph" w:styleId="a7">
    <w:name w:val="caption"/>
    <w:basedOn w:val="a"/>
    <w:qFormat/>
    <w:pPr>
      <w:suppressLineNumbers/>
      <w:spacing w:before="120" w:after="120"/>
    </w:pPr>
    <w:rPr>
      <w:rFonts w:ascii="PT Astra Serif" w:hAnsi="PT Astra Serif" w:cs="Noto Sans Devanagari"/>
      <w:i/>
      <w:iCs/>
      <w:sz w:val="24"/>
      <w:szCs w:val="24"/>
    </w:rPr>
  </w:style>
  <w:style w:type="paragraph" w:styleId="a8">
    <w:name w:val="index heading"/>
    <w:basedOn w:val="a"/>
    <w:qFormat/>
    <w:pPr>
      <w:suppressLineNumbers/>
    </w:pPr>
    <w:rPr>
      <w:rFonts w:ascii="PT Astra Serif" w:hAnsi="PT Astra Serif" w:cs="Noto Sans Devanagari"/>
    </w:rPr>
  </w:style>
  <w:style w:type="paragraph" w:styleId="a9">
    <w:name w:val="Subtitle"/>
    <w:basedOn w:val="a"/>
    <w:next w:val="a"/>
    <w:uiPriority w:val="11"/>
    <w:qFormat/>
    <w:pPr>
      <w:spacing w:before="200"/>
    </w:pPr>
    <w:rPr>
      <w:sz w:val="24"/>
      <w:szCs w:val="24"/>
    </w:rPr>
  </w:style>
  <w:style w:type="paragraph" w:styleId="20">
    <w:name w:val="Quote"/>
    <w:basedOn w:val="a"/>
    <w:next w:val="a"/>
    <w:uiPriority w:val="29"/>
    <w:qFormat/>
    <w:pPr>
      <w:ind w:left="720" w:right="720"/>
    </w:pPr>
    <w:rPr>
      <w:i/>
    </w:rPr>
  </w:style>
  <w:style w:type="paragraph" w:styleId="aa">
    <w:name w:val="Intense Quote"/>
    <w:basedOn w:val="a"/>
    <w:next w:val="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ab">
    <w:name w:val="Верхний и нижний колонтитулы"/>
    <w:basedOn w:val="a"/>
    <w:qFormat/>
  </w:style>
  <w:style w:type="paragraph" w:styleId="ac">
    <w:name w:val="header"/>
    <w:basedOn w:val="a"/>
    <w:uiPriority w:val="99"/>
    <w:unhideWhenUsed/>
    <w:pPr>
      <w:tabs>
        <w:tab w:val="center" w:pos="7143"/>
        <w:tab w:val="right" w:pos="14287"/>
      </w:tabs>
      <w:spacing w:after="0" w:line="240" w:lineRule="auto"/>
    </w:pPr>
  </w:style>
  <w:style w:type="paragraph" w:styleId="ad">
    <w:name w:val="footer"/>
    <w:basedOn w:val="a"/>
    <w:uiPriority w:val="99"/>
    <w:unhideWhenUsed/>
    <w:pPr>
      <w:tabs>
        <w:tab w:val="center" w:pos="7143"/>
        <w:tab w:val="right" w:pos="14287"/>
      </w:tabs>
      <w:spacing w:after="0" w:line="240" w:lineRule="auto"/>
    </w:pPr>
  </w:style>
  <w:style w:type="paragraph" w:styleId="ae">
    <w:name w:val="footnote text"/>
    <w:basedOn w:val="a"/>
    <w:uiPriority w:val="99"/>
    <w:semiHidden/>
    <w:unhideWhenUsed/>
    <w:pPr>
      <w:spacing w:after="40" w:line="240" w:lineRule="auto"/>
    </w:pPr>
    <w:rPr>
      <w:sz w:val="18"/>
    </w:rPr>
  </w:style>
  <w:style w:type="paragraph" w:styleId="10">
    <w:name w:val="toc 1"/>
    <w:basedOn w:val="a"/>
    <w:next w:val="a"/>
    <w:uiPriority w:val="39"/>
    <w:unhideWhenUsed/>
    <w:pPr>
      <w:spacing w:after="57"/>
    </w:pPr>
  </w:style>
  <w:style w:type="paragraph" w:styleId="21">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0">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f">
    <w:name w:val="TOC Heading"/>
    <w:uiPriority w:val="39"/>
    <w:unhideWhenUsed/>
    <w:qFormat/>
    <w:pPr>
      <w:spacing w:after="200" w:line="276" w:lineRule="auto"/>
    </w:pPr>
    <w:rPr>
      <w:sz w:val="22"/>
      <w:highlight w:val="white"/>
    </w:rPr>
  </w:style>
  <w:style w:type="paragraph" w:styleId="af0">
    <w:name w:val="No Spacing"/>
    <w:basedOn w:val="a"/>
    <w:uiPriority w:val="1"/>
    <w:qFormat/>
    <w:pPr>
      <w:spacing w:after="0" w:line="240" w:lineRule="auto"/>
    </w:pPr>
  </w:style>
  <w:style w:type="paragraph" w:styleId="af1">
    <w:name w:val="List Paragraph"/>
    <w:basedOn w:val="a"/>
    <w:uiPriority w:val="34"/>
    <w:qFormat/>
    <w:pPr>
      <w:ind w:left="720"/>
      <w:contextualSpacing/>
    </w:pPr>
  </w:style>
  <w:style w:type="table" w:styleId="af2">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7F7F7F"/>
      </w:tcPr>
    </w:tblStylePr>
    <w:tblStylePr w:type="lastRow">
      <w:rPr>
        <w:color w:val="F2F2F2"/>
        <w:sz w:val="22"/>
      </w:rPr>
      <w:tblPr/>
      <w:tcPr>
        <w:shd w:val="clear" w:color="auto" w:fill="7F7F7F"/>
      </w:tcPr>
    </w:tblStylePr>
    <w:tblStylePr w:type="firstCol">
      <w:rPr>
        <w:color w:val="F2F2F2"/>
        <w:sz w:val="22"/>
      </w:rPr>
      <w:tblPr/>
      <w:tcPr>
        <w:shd w:val="clear" w:color="auto" w:fill="7F7F7F"/>
      </w:tcPr>
    </w:tblStylePr>
    <w:tblStylePr w:type="lastCol">
      <w:rPr>
        <w:color w:val="F2F2F2"/>
        <w:sz w:val="22"/>
      </w:rPr>
      <w:tblPr/>
      <w:tcPr>
        <w:shd w:val="clear" w:color="auto" w:fill="7F7F7F"/>
      </w:tcPr>
    </w:tblStylePr>
    <w:tblStylePr w:type="band1Vert">
      <w:rPr>
        <w:color w:val="404040"/>
        <w:sz w:val="22"/>
      </w:rPr>
    </w:tblStylePr>
    <w:tblStylePr w:type="band2Vert">
      <w:rPr>
        <w:color w:val="404040"/>
        <w:sz w:val="22"/>
      </w:rPr>
      <w:tblPr/>
      <w:tcPr>
        <w:shd w:val="clear" w:color="auto" w:fill="F2F2F2"/>
      </w:tcPr>
    </w:tblStylePr>
    <w:tblStylePr w:type="band1Horz">
      <w:rPr>
        <w:color w:val="404040"/>
        <w:sz w:val="22"/>
      </w:rPr>
    </w:tblStylePr>
    <w:tblStylePr w:type="band2Horz">
      <w:rPr>
        <w:color w:val="404040"/>
        <w:sz w:val="22"/>
      </w:rPr>
      <w:tblPr/>
      <w:tcPr>
        <w:shd w:val="clear" w:color="auto" w:fill="F2F2F2"/>
      </w:tcPr>
    </w:tblStylePr>
  </w:style>
  <w:style w:type="table" w:customStyle="1" w:styleId="Lined-Accent1">
    <w:name w:val="Lined - Accent 1"/>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548DD4"/>
      </w:tcPr>
    </w:tblStylePr>
    <w:tblStylePr w:type="lastRow">
      <w:rPr>
        <w:color w:val="F2F2F2"/>
        <w:sz w:val="22"/>
      </w:rPr>
      <w:tblPr/>
      <w:tcPr>
        <w:shd w:val="clear" w:color="auto" w:fill="548DD4"/>
      </w:tcPr>
    </w:tblStylePr>
    <w:tblStylePr w:type="firstCol">
      <w:rPr>
        <w:color w:val="F2F2F2"/>
        <w:sz w:val="22"/>
      </w:rPr>
      <w:tblPr/>
      <w:tcPr>
        <w:shd w:val="clear" w:color="auto" w:fill="548DD4"/>
      </w:tcPr>
    </w:tblStylePr>
    <w:tblStylePr w:type="lastCol">
      <w:rPr>
        <w:color w:val="F2F2F2"/>
        <w:sz w:val="22"/>
      </w:rPr>
      <w:tblPr/>
      <w:tcPr>
        <w:shd w:val="clear" w:color="auto" w:fill="548DD4"/>
      </w:tcPr>
    </w:tblStylePr>
    <w:tblStylePr w:type="band1Vert">
      <w:rPr>
        <w:color w:val="404040"/>
        <w:sz w:val="22"/>
      </w:rPr>
    </w:tblStylePr>
    <w:tblStylePr w:type="band2Vert">
      <w:rPr>
        <w:color w:val="404040"/>
        <w:sz w:val="22"/>
      </w:rPr>
      <w:tblPr/>
      <w:tcPr>
        <w:shd w:val="clear" w:color="auto" w:fill="C6D9F1"/>
      </w:tcPr>
    </w:tblStylePr>
    <w:tblStylePr w:type="band1Horz">
      <w:rPr>
        <w:color w:val="404040"/>
        <w:sz w:val="22"/>
      </w:rPr>
    </w:tblStylePr>
    <w:tblStylePr w:type="band2Horz">
      <w:rPr>
        <w:color w:val="404040"/>
        <w:sz w:val="22"/>
      </w:rPr>
      <w:tblPr/>
      <w:tcPr>
        <w:shd w:val="clear" w:color="auto" w:fill="C6D9F1"/>
      </w:tcPr>
    </w:tblStylePr>
  </w:style>
  <w:style w:type="table" w:customStyle="1" w:styleId="Lined-Accent2">
    <w:name w:val="Lined - Accent 2"/>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D99594"/>
      </w:tcPr>
    </w:tblStylePr>
    <w:tblStylePr w:type="lastRow">
      <w:rPr>
        <w:color w:val="F2F2F2"/>
        <w:sz w:val="22"/>
      </w:rPr>
      <w:tblPr/>
      <w:tcPr>
        <w:shd w:val="clear" w:color="auto" w:fill="D99594"/>
      </w:tcPr>
    </w:tblStylePr>
    <w:tblStylePr w:type="firstCol">
      <w:rPr>
        <w:color w:val="F2F2F2"/>
        <w:sz w:val="22"/>
      </w:rPr>
      <w:tblPr/>
      <w:tcPr>
        <w:shd w:val="clear" w:color="auto" w:fill="D99594"/>
      </w:tcPr>
    </w:tblStylePr>
    <w:tblStylePr w:type="lastCol">
      <w:rPr>
        <w:color w:val="F2F2F2"/>
        <w:sz w:val="22"/>
      </w:rPr>
      <w:tblPr/>
      <w:tcPr>
        <w:shd w:val="clear" w:color="auto" w:fill="D99594"/>
      </w:tcPr>
    </w:tblStylePr>
    <w:tblStylePr w:type="band1Vert">
      <w:rPr>
        <w:color w:val="404040"/>
        <w:sz w:val="22"/>
      </w:rPr>
    </w:tblStylePr>
    <w:tblStylePr w:type="band2Vert">
      <w:rPr>
        <w:color w:val="404040"/>
        <w:sz w:val="22"/>
      </w:rPr>
      <w:tblPr/>
      <w:tcPr>
        <w:shd w:val="clear" w:color="auto" w:fill="F2DBDB"/>
      </w:tcPr>
    </w:tblStylePr>
    <w:tblStylePr w:type="band1Horz">
      <w:rPr>
        <w:color w:val="404040"/>
        <w:sz w:val="22"/>
      </w:rPr>
    </w:tblStylePr>
    <w:tblStylePr w:type="band2Horz">
      <w:rPr>
        <w:color w:val="404040"/>
        <w:sz w:val="22"/>
      </w:rPr>
      <w:tblPr/>
      <w:tcPr>
        <w:shd w:val="clear" w:color="auto" w:fill="F2DBDB"/>
      </w:tcPr>
    </w:tblStylePr>
  </w:style>
  <w:style w:type="table" w:customStyle="1" w:styleId="Lined-Accent3">
    <w:name w:val="Lined - Accent 3"/>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9BB559"/>
      </w:tcPr>
    </w:tblStylePr>
    <w:tblStylePr w:type="lastRow">
      <w:rPr>
        <w:color w:val="F2F2F2"/>
        <w:sz w:val="22"/>
      </w:rPr>
      <w:tblPr/>
      <w:tcPr>
        <w:shd w:val="clear" w:color="auto" w:fill="9BB559"/>
      </w:tcPr>
    </w:tblStylePr>
    <w:tblStylePr w:type="firstCol">
      <w:rPr>
        <w:color w:val="F2F2F2"/>
        <w:sz w:val="22"/>
      </w:rPr>
      <w:tblPr/>
      <w:tcPr>
        <w:shd w:val="clear" w:color="auto" w:fill="9BB559"/>
      </w:tcPr>
    </w:tblStylePr>
    <w:tblStylePr w:type="lastCol">
      <w:rPr>
        <w:color w:val="F2F2F2"/>
        <w:sz w:val="22"/>
      </w:rPr>
      <w:tblPr/>
      <w:tcPr>
        <w:shd w:val="clear" w:color="auto" w:fill="9BB559"/>
      </w:tcPr>
    </w:tblStylePr>
    <w:tblStylePr w:type="band1Vert">
      <w:rPr>
        <w:color w:val="404040"/>
        <w:sz w:val="22"/>
      </w:rPr>
    </w:tblStylePr>
    <w:tblStylePr w:type="band2Vert">
      <w:rPr>
        <w:color w:val="404040"/>
        <w:sz w:val="22"/>
      </w:rPr>
      <w:tblPr/>
      <w:tcPr>
        <w:shd w:val="clear" w:color="auto" w:fill="EAF1DD"/>
      </w:tcPr>
    </w:tblStylePr>
    <w:tblStylePr w:type="band1Horz">
      <w:rPr>
        <w:color w:val="404040"/>
        <w:sz w:val="22"/>
      </w:rPr>
    </w:tblStylePr>
    <w:tblStylePr w:type="band2Horz">
      <w:rPr>
        <w:color w:val="404040"/>
        <w:sz w:val="22"/>
      </w:rPr>
      <w:tblPr/>
      <w:tcPr>
        <w:shd w:val="clear" w:color="auto" w:fill="EAF1DD"/>
      </w:tcPr>
    </w:tblStylePr>
  </w:style>
  <w:style w:type="table" w:customStyle="1" w:styleId="Lined-Accent4">
    <w:name w:val="Lined - Accent 4"/>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B2A1C7"/>
      </w:tcPr>
    </w:tblStylePr>
    <w:tblStylePr w:type="lastRow">
      <w:rPr>
        <w:color w:val="F2F2F2"/>
        <w:sz w:val="22"/>
      </w:rPr>
      <w:tblPr/>
      <w:tcPr>
        <w:shd w:val="clear" w:color="auto" w:fill="B2A1C7"/>
      </w:tcPr>
    </w:tblStylePr>
    <w:tblStylePr w:type="firstCol">
      <w:rPr>
        <w:color w:val="F2F2F2"/>
        <w:sz w:val="22"/>
      </w:rPr>
      <w:tblPr/>
      <w:tcPr>
        <w:shd w:val="clear" w:color="auto" w:fill="B2A1C7"/>
      </w:tcPr>
    </w:tblStylePr>
    <w:tblStylePr w:type="lastCol">
      <w:rPr>
        <w:color w:val="F2F2F2"/>
        <w:sz w:val="22"/>
      </w:rPr>
      <w:tblPr/>
      <w:tcPr>
        <w:shd w:val="clear" w:color="auto" w:fill="B2A1C7"/>
      </w:tcPr>
    </w:tblStylePr>
    <w:tblStylePr w:type="band1Vert">
      <w:rPr>
        <w:color w:val="404040"/>
        <w:sz w:val="22"/>
      </w:rPr>
    </w:tblStylePr>
    <w:tblStylePr w:type="band2Vert">
      <w:rPr>
        <w:color w:val="404040"/>
        <w:sz w:val="22"/>
      </w:rPr>
      <w:tblPr/>
      <w:tcPr>
        <w:shd w:val="clear" w:color="auto" w:fill="E5DFEC"/>
      </w:tcPr>
    </w:tblStylePr>
    <w:tblStylePr w:type="band1Horz">
      <w:rPr>
        <w:color w:val="404040"/>
        <w:sz w:val="22"/>
      </w:rPr>
    </w:tblStylePr>
    <w:tblStylePr w:type="band2Horz">
      <w:rPr>
        <w:color w:val="404040"/>
        <w:sz w:val="22"/>
      </w:rPr>
      <w:tblPr/>
      <w:tcPr>
        <w:shd w:val="clear" w:color="auto" w:fill="E5DFEC"/>
      </w:tcPr>
    </w:tblStylePr>
  </w:style>
  <w:style w:type="table" w:customStyle="1" w:styleId="Lined-Accent5">
    <w:name w:val="Lined - Accent 5"/>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4BACC6"/>
      </w:tcPr>
    </w:tblStylePr>
    <w:tblStylePr w:type="lastRow">
      <w:rPr>
        <w:color w:val="F2F2F2"/>
        <w:sz w:val="22"/>
      </w:rPr>
      <w:tblPr/>
      <w:tcPr>
        <w:shd w:val="clear" w:color="auto" w:fill="4BACC6"/>
      </w:tcPr>
    </w:tblStylePr>
    <w:tblStylePr w:type="firstCol">
      <w:rPr>
        <w:color w:val="F2F2F2"/>
        <w:sz w:val="22"/>
      </w:rPr>
      <w:tblPr/>
      <w:tcPr>
        <w:shd w:val="clear" w:color="auto" w:fill="4BACC6"/>
      </w:tcPr>
    </w:tblStylePr>
    <w:tblStylePr w:type="lastCol">
      <w:rPr>
        <w:color w:val="F2F2F2"/>
        <w:sz w:val="22"/>
      </w:rPr>
      <w:tblPr/>
      <w:tcPr>
        <w:shd w:val="clear" w:color="auto" w:fill="4BACC6"/>
      </w:tcPr>
    </w:tblStylePr>
    <w:tblStylePr w:type="band1Vert">
      <w:rPr>
        <w:color w:val="404040"/>
        <w:sz w:val="22"/>
      </w:rPr>
    </w:tblStylePr>
    <w:tblStylePr w:type="band2Vert">
      <w:rPr>
        <w:color w:val="404040"/>
        <w:sz w:val="22"/>
      </w:rPr>
      <w:tblPr/>
      <w:tcPr>
        <w:shd w:val="clear" w:color="auto" w:fill="DAEEF3"/>
      </w:tcPr>
    </w:tblStylePr>
    <w:tblStylePr w:type="band1Horz">
      <w:rPr>
        <w:color w:val="404040"/>
        <w:sz w:val="22"/>
      </w:rPr>
    </w:tblStylePr>
    <w:tblStylePr w:type="band2Horz">
      <w:rPr>
        <w:color w:val="404040"/>
        <w:sz w:val="22"/>
      </w:rPr>
      <w:tblPr/>
      <w:tcPr>
        <w:shd w:val="clear" w:color="auto" w:fill="DAEEF3"/>
      </w:tcPr>
    </w:tblStylePr>
  </w:style>
  <w:style w:type="table" w:customStyle="1" w:styleId="Lined-Accent6">
    <w:name w:val="Lined - Accent 6"/>
    <w:basedOn w:val="a1"/>
    <w:uiPriority w:val="99"/>
    <w:rPr>
      <w:color w:val="404040"/>
      <w:szCs w:val="20"/>
      <w:lang w:eastAsia="ru-RU"/>
    </w:rPr>
    <w:tblPr>
      <w:tblStyleRowBandSize w:val="1"/>
      <w:tblStyleColBandSize w:val="1"/>
      <w:tblInd w:w="0" w:type="dxa"/>
      <w:tblCellMar>
        <w:top w:w="96" w:type="dxa"/>
        <w:left w:w="170" w:type="dxa"/>
        <w:bottom w:w="96" w:type="dxa"/>
        <w:right w:w="170" w:type="dxa"/>
      </w:tblCellMar>
    </w:tblPr>
    <w:tblStylePr w:type="firstRow">
      <w:rPr>
        <w:color w:val="F2F2F2"/>
        <w:sz w:val="22"/>
      </w:rPr>
      <w:tblPr/>
      <w:tcPr>
        <w:shd w:val="clear" w:color="auto" w:fill="F79646"/>
      </w:tcPr>
    </w:tblStylePr>
    <w:tblStylePr w:type="lastRow">
      <w:rPr>
        <w:color w:val="F2F2F2"/>
        <w:sz w:val="22"/>
      </w:rPr>
      <w:tblPr/>
      <w:tcPr>
        <w:shd w:val="clear" w:color="auto" w:fill="F79646"/>
      </w:tcPr>
    </w:tblStylePr>
    <w:tblStylePr w:type="firstCol">
      <w:rPr>
        <w:color w:val="F2F2F2"/>
        <w:sz w:val="22"/>
      </w:rPr>
      <w:tblPr/>
      <w:tcPr>
        <w:shd w:val="clear" w:color="auto" w:fill="F79646"/>
      </w:tcPr>
    </w:tblStylePr>
    <w:tblStylePr w:type="lastCol">
      <w:rPr>
        <w:color w:val="F2F2F2"/>
        <w:sz w:val="22"/>
      </w:rPr>
      <w:tblPr/>
      <w:tcPr>
        <w:shd w:val="clear" w:color="auto" w:fill="F79646"/>
      </w:tcPr>
    </w:tblStylePr>
    <w:tblStylePr w:type="band1Vert">
      <w:rPr>
        <w:color w:val="404040"/>
        <w:sz w:val="22"/>
      </w:rPr>
    </w:tblStylePr>
    <w:tblStylePr w:type="band2Vert">
      <w:rPr>
        <w:color w:val="404040"/>
        <w:sz w:val="22"/>
      </w:rPr>
      <w:tblPr/>
      <w:tcPr>
        <w:shd w:val="clear" w:color="auto" w:fill="FDE9D9"/>
      </w:tcPr>
    </w:tblStylePr>
    <w:tblStylePr w:type="band1Horz">
      <w:rPr>
        <w:color w:val="404040"/>
        <w:sz w:val="22"/>
      </w:rPr>
    </w:tblStylePr>
    <w:tblStylePr w:type="band2Horz">
      <w:rPr>
        <w:color w:val="404040"/>
        <w:sz w:val="22"/>
      </w:rPr>
      <w:tblPr/>
      <w:tcPr>
        <w:shd w:val="clear" w:color="auto" w:fill="FDE9D9"/>
      </w:tcPr>
    </w:tblStylePr>
  </w:style>
  <w:style w:type="table" w:customStyle="1" w:styleId="Bordered">
    <w:name w:val="Bordered"/>
    <w:basedOn w:val="a1"/>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color w:val="404040"/>
        <w:sz w:val="22"/>
      </w:rPr>
      <w:tblPr/>
      <w:tcPr>
        <w:tcBorders>
          <w:bottom w:val="single" w:sz="12" w:space="0" w:color="7F7F7F"/>
        </w:tcBorders>
      </w:tcPr>
    </w:tblStylePr>
    <w:tblStylePr w:type="lastRow">
      <w:rPr>
        <w:color w:val="404040"/>
        <w:sz w:val="22"/>
      </w:rPr>
      <w:tblPr/>
      <w:tcPr>
        <w:tcBorders>
          <w:top w:val="single" w:sz="12" w:space="0" w:color="7F7F7F"/>
        </w:tcBorders>
      </w:tcPr>
    </w:tblStylePr>
    <w:tblStylePr w:type="firstCol">
      <w:rPr>
        <w:color w:val="404040"/>
        <w:sz w:val="22"/>
      </w:rPr>
      <w:tblPr/>
      <w:tcPr>
        <w:tcBorders>
          <w:right w:val="single" w:sz="12" w:space="0" w:color="7F7F7F"/>
        </w:tcBorders>
      </w:tcPr>
    </w:tblStylePr>
    <w:tblStylePr w:type="lastCol">
      <w:rPr>
        <w:color w:val="404040"/>
        <w:sz w:val="22"/>
      </w:rPr>
      <w:tblPr/>
      <w:tcPr>
        <w:tcBorders>
          <w:left w:val="single" w:sz="12" w:space="0" w:color="7F7F7F"/>
        </w:tcBorders>
      </w:tcPr>
    </w:tblStylePr>
    <w:tblStylePr w:type="band1Horz">
      <w:rPr>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color w:val="404040"/>
        <w:sz w:val="22"/>
      </w:rPr>
      <w:tblPr/>
      <w:tcPr>
        <w:tcBorders>
          <w:bottom w:val="single" w:sz="12" w:space="0" w:color="4F81BD"/>
        </w:tcBorders>
      </w:tcPr>
    </w:tblStylePr>
    <w:tblStylePr w:type="lastRow">
      <w:rPr>
        <w:color w:val="404040"/>
        <w:sz w:val="22"/>
      </w:rPr>
      <w:tblPr/>
      <w:tcPr>
        <w:tcBorders>
          <w:top w:val="single" w:sz="12" w:space="0" w:color="4F81BD"/>
        </w:tcBorders>
      </w:tcPr>
    </w:tblStylePr>
    <w:tblStylePr w:type="firstCol">
      <w:rPr>
        <w:color w:val="404040"/>
        <w:sz w:val="22"/>
      </w:rPr>
      <w:tblPr/>
      <w:tcPr>
        <w:tcBorders>
          <w:right w:val="single" w:sz="12" w:space="0" w:color="4F81BD"/>
        </w:tcBorders>
      </w:tcPr>
    </w:tblStylePr>
    <w:tblStylePr w:type="lastCol">
      <w:rPr>
        <w:color w:val="404040"/>
        <w:sz w:val="22"/>
      </w:rPr>
      <w:tblPr/>
      <w:tcPr>
        <w:tcBorders>
          <w:left w:val="single" w:sz="12" w:space="0" w:color="4F81BD"/>
        </w:tcBorders>
      </w:tcPr>
    </w:tblStylePr>
    <w:tblStylePr w:type="band1Horz">
      <w:rPr>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color w:val="404040"/>
        <w:sz w:val="22"/>
      </w:rPr>
      <w:tblPr/>
      <w:tcPr>
        <w:tcBorders>
          <w:bottom w:val="single" w:sz="12" w:space="0" w:color="D99594"/>
        </w:tcBorders>
      </w:tcPr>
    </w:tblStylePr>
    <w:tblStylePr w:type="lastRow">
      <w:rPr>
        <w:color w:val="404040"/>
        <w:sz w:val="22"/>
      </w:rPr>
      <w:tblPr/>
      <w:tcPr>
        <w:tcBorders>
          <w:top w:val="single" w:sz="12" w:space="0" w:color="D99594"/>
        </w:tcBorders>
      </w:tcPr>
    </w:tblStylePr>
    <w:tblStylePr w:type="firstCol">
      <w:rPr>
        <w:color w:val="404040"/>
        <w:sz w:val="22"/>
      </w:rPr>
      <w:tblPr/>
      <w:tcPr>
        <w:tcBorders>
          <w:right w:val="single" w:sz="12" w:space="0" w:color="D99594"/>
        </w:tcBorders>
      </w:tcPr>
    </w:tblStylePr>
    <w:tblStylePr w:type="lastCol">
      <w:rPr>
        <w:color w:val="404040"/>
        <w:sz w:val="22"/>
      </w:rPr>
      <w:tblPr/>
      <w:tcPr>
        <w:tcBorders>
          <w:left w:val="single" w:sz="12" w:space="0" w:color="D99594"/>
        </w:tcBorders>
      </w:tcPr>
    </w:tblStylePr>
    <w:tblStylePr w:type="band1Horz">
      <w:rPr>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color w:val="404040"/>
        <w:sz w:val="22"/>
      </w:rPr>
      <w:tblPr/>
      <w:tcPr>
        <w:tcBorders>
          <w:bottom w:val="single" w:sz="12" w:space="0" w:color="C2D69B"/>
        </w:tcBorders>
      </w:tcPr>
    </w:tblStylePr>
    <w:tblStylePr w:type="lastRow">
      <w:rPr>
        <w:color w:val="404040"/>
        <w:sz w:val="22"/>
      </w:rPr>
      <w:tblPr/>
      <w:tcPr>
        <w:tcBorders>
          <w:top w:val="single" w:sz="12" w:space="0" w:color="C2D69B"/>
        </w:tcBorders>
      </w:tcPr>
    </w:tblStylePr>
    <w:tblStylePr w:type="firstCol">
      <w:rPr>
        <w:color w:val="404040"/>
        <w:sz w:val="22"/>
      </w:rPr>
      <w:tblPr/>
      <w:tcPr>
        <w:tcBorders>
          <w:right w:val="single" w:sz="12" w:space="0" w:color="C2D69B"/>
        </w:tcBorders>
      </w:tcPr>
    </w:tblStylePr>
    <w:tblStylePr w:type="lastCol">
      <w:rPr>
        <w:color w:val="404040"/>
        <w:sz w:val="22"/>
      </w:rPr>
      <w:tblPr/>
      <w:tcPr>
        <w:tcBorders>
          <w:left w:val="single" w:sz="12" w:space="0" w:color="C2D69B"/>
        </w:tcBorders>
      </w:tcPr>
    </w:tblStylePr>
    <w:tblStylePr w:type="band1Horz">
      <w:rPr>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color w:val="404040"/>
        <w:sz w:val="22"/>
      </w:rPr>
      <w:tblPr/>
      <w:tcPr>
        <w:tcBorders>
          <w:bottom w:val="single" w:sz="12" w:space="0" w:color="B2A1C7"/>
        </w:tcBorders>
      </w:tcPr>
    </w:tblStylePr>
    <w:tblStylePr w:type="lastRow">
      <w:rPr>
        <w:color w:val="404040"/>
        <w:sz w:val="22"/>
      </w:rPr>
      <w:tblPr/>
      <w:tcPr>
        <w:tcBorders>
          <w:top w:val="single" w:sz="12" w:space="0" w:color="B2A1C7"/>
        </w:tcBorders>
      </w:tcPr>
    </w:tblStylePr>
    <w:tblStylePr w:type="firstCol">
      <w:rPr>
        <w:color w:val="404040"/>
        <w:sz w:val="22"/>
      </w:rPr>
      <w:tblPr/>
      <w:tcPr>
        <w:tcBorders>
          <w:right w:val="single" w:sz="12" w:space="0" w:color="B2A1C7"/>
        </w:tcBorders>
      </w:tcPr>
    </w:tblStylePr>
    <w:tblStylePr w:type="lastCol">
      <w:rPr>
        <w:color w:val="404040"/>
        <w:sz w:val="22"/>
      </w:rPr>
      <w:tblPr/>
      <w:tcPr>
        <w:tcBorders>
          <w:left w:val="single" w:sz="12" w:space="0" w:color="B2A1C7"/>
        </w:tcBorders>
      </w:tcPr>
    </w:tblStylePr>
    <w:tblStylePr w:type="band1Horz">
      <w:rPr>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color w:val="404040"/>
        <w:sz w:val="22"/>
      </w:rPr>
      <w:tblPr/>
      <w:tcPr>
        <w:tcBorders>
          <w:bottom w:val="single" w:sz="12" w:space="0" w:color="92CDDC"/>
        </w:tcBorders>
      </w:tcPr>
    </w:tblStylePr>
    <w:tblStylePr w:type="lastRow">
      <w:rPr>
        <w:color w:val="404040"/>
        <w:sz w:val="22"/>
      </w:rPr>
      <w:tblPr/>
      <w:tcPr>
        <w:tcBorders>
          <w:top w:val="single" w:sz="12" w:space="0" w:color="92CDDC"/>
        </w:tcBorders>
      </w:tcPr>
    </w:tblStylePr>
    <w:tblStylePr w:type="firstCol">
      <w:rPr>
        <w:color w:val="404040"/>
        <w:sz w:val="22"/>
      </w:rPr>
      <w:tblPr/>
      <w:tcPr>
        <w:tcBorders>
          <w:right w:val="single" w:sz="12" w:space="0" w:color="92CDDC"/>
        </w:tcBorders>
      </w:tcPr>
    </w:tblStylePr>
    <w:tblStylePr w:type="lastCol">
      <w:rPr>
        <w:color w:val="404040"/>
        <w:sz w:val="22"/>
      </w:rPr>
      <w:tblPr/>
      <w:tcPr>
        <w:tcBorders>
          <w:left w:val="single" w:sz="12" w:space="0" w:color="92CDDC"/>
        </w:tcBorders>
      </w:tcPr>
    </w:tblStylePr>
    <w:tblStylePr w:type="band1Horz">
      <w:rPr>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color w:val="404040"/>
        <w:sz w:val="22"/>
      </w:rPr>
      <w:tblPr/>
      <w:tcPr>
        <w:tcBorders>
          <w:bottom w:val="single" w:sz="12" w:space="0" w:color="FABF8F"/>
        </w:tcBorders>
      </w:tcPr>
    </w:tblStylePr>
    <w:tblStylePr w:type="lastRow">
      <w:rPr>
        <w:color w:val="404040"/>
        <w:sz w:val="22"/>
      </w:rPr>
      <w:tblPr/>
      <w:tcPr>
        <w:tcBorders>
          <w:top w:val="single" w:sz="12" w:space="0" w:color="FABF8F"/>
        </w:tcBorders>
      </w:tcPr>
    </w:tblStylePr>
    <w:tblStylePr w:type="firstCol">
      <w:rPr>
        <w:color w:val="404040"/>
        <w:sz w:val="22"/>
      </w:rPr>
      <w:tblPr/>
      <w:tcPr>
        <w:tcBorders>
          <w:right w:val="single" w:sz="12" w:space="0" w:color="FABF8F"/>
        </w:tcBorders>
      </w:tcPr>
    </w:tblStylePr>
    <w:tblStylePr w:type="lastCol">
      <w:rPr>
        <w:color w:val="404040"/>
        <w:sz w:val="22"/>
      </w:rPr>
      <w:tblPr/>
      <w:tcPr>
        <w:tcBorders>
          <w:left w:val="single" w:sz="12" w:space="0" w:color="FABF8F"/>
        </w:tcBorders>
      </w:tcPr>
    </w:tblStylePr>
    <w:tblStylePr w:type="band1Horz">
      <w:rPr>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color w:val="F2F2F2"/>
        <w:sz w:val="22"/>
      </w:rPr>
      <w:tblPr/>
      <w:tcPr>
        <w:shd w:val="clear" w:color="auto" w:fill="7F7F7F"/>
      </w:tcPr>
    </w:tblStylePr>
    <w:tblStylePr w:type="lastRow">
      <w:rPr>
        <w:color w:val="F2F2F2"/>
        <w:sz w:val="22"/>
      </w:rPr>
      <w:tblPr/>
      <w:tcPr>
        <w:shd w:val="clear" w:color="auto" w:fill="7F7F7F"/>
      </w:tcPr>
    </w:tblStylePr>
    <w:tblStylePr w:type="firstCol">
      <w:rPr>
        <w:color w:val="F2F2F2"/>
        <w:sz w:val="22"/>
      </w:rPr>
      <w:tblPr/>
      <w:tcPr>
        <w:shd w:val="clear" w:color="auto" w:fill="7F7F7F"/>
      </w:tcPr>
    </w:tblStylePr>
    <w:tblStylePr w:type="lastCol">
      <w:rPr>
        <w:color w:val="F2F2F2"/>
        <w:sz w:val="22"/>
      </w:rPr>
      <w:tblPr/>
      <w:tcPr>
        <w:shd w:val="clear" w:color="auto" w:fill="7F7F7F"/>
      </w:tcPr>
    </w:tblStylePr>
    <w:tblStylePr w:type="band1Vert">
      <w:rPr>
        <w:color w:val="404040"/>
        <w:sz w:val="22"/>
      </w:rPr>
    </w:tblStylePr>
    <w:tblStylePr w:type="band2Vert">
      <w:rPr>
        <w:color w:val="404040"/>
        <w:sz w:val="22"/>
      </w:rPr>
      <w:tblPr/>
      <w:tcPr>
        <w:shd w:val="clear" w:color="auto" w:fill="D9D9D9"/>
      </w:tcPr>
    </w:tblStylePr>
    <w:tblStylePr w:type="band1Horz">
      <w:rPr>
        <w:color w:val="404040"/>
        <w:sz w:val="22"/>
      </w:rPr>
    </w:tblStylePr>
    <w:tblStylePr w:type="band2Horz">
      <w:rPr>
        <w:color w:val="404040"/>
        <w:sz w:val="22"/>
      </w:rPr>
      <w:tblPr/>
      <w:tcPr>
        <w:shd w:val="clear" w:color="auto" w:fill="F2F2F2"/>
      </w:tcPr>
    </w:tblStylePr>
  </w:style>
  <w:style w:type="table" w:customStyle="1" w:styleId="BorderedLined-Accent1">
    <w:name w:val="Bordered &amp; Lined - Accent 1"/>
    <w:basedOn w:val="a1"/>
    <w:uiPriority w:val="99"/>
    <w:rPr>
      <w:color w:val="404040"/>
      <w:szCs w:val="20"/>
      <w:lang w:eastAsia="ru-RU"/>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color w:val="F2F2F2"/>
        <w:sz w:val="22"/>
      </w:rPr>
      <w:tblPr/>
      <w:tcPr>
        <w:shd w:val="clear" w:color="auto" w:fill="548DD4"/>
      </w:tcPr>
    </w:tblStylePr>
    <w:tblStylePr w:type="lastRow">
      <w:rPr>
        <w:color w:val="F2F2F2"/>
        <w:sz w:val="22"/>
      </w:rPr>
      <w:tblPr/>
      <w:tcPr>
        <w:shd w:val="clear" w:color="auto" w:fill="548DD4"/>
      </w:tcPr>
    </w:tblStylePr>
    <w:tblStylePr w:type="firstCol">
      <w:rPr>
        <w:color w:val="F2F2F2"/>
        <w:sz w:val="22"/>
      </w:rPr>
      <w:tblPr/>
      <w:tcPr>
        <w:shd w:val="clear" w:color="auto" w:fill="548DD4"/>
      </w:tcPr>
    </w:tblStylePr>
    <w:tblStylePr w:type="lastCol">
      <w:rPr>
        <w:color w:val="F2F2F2"/>
        <w:sz w:val="22"/>
      </w:rPr>
      <w:tblPr/>
      <w:tcPr>
        <w:shd w:val="clear" w:color="auto" w:fill="548DD4"/>
      </w:tcPr>
    </w:tblStylePr>
    <w:tblStylePr w:type="band1Vert">
      <w:rPr>
        <w:color w:val="404040"/>
        <w:sz w:val="22"/>
      </w:rPr>
    </w:tblStylePr>
    <w:tblStylePr w:type="band2Vert">
      <w:rPr>
        <w:color w:val="404040"/>
        <w:sz w:val="22"/>
      </w:rPr>
      <w:tblPr/>
      <w:tcPr>
        <w:shd w:val="clear" w:color="auto" w:fill="C6D9F1"/>
      </w:tcPr>
    </w:tblStylePr>
    <w:tblStylePr w:type="band1Horz">
      <w:rPr>
        <w:color w:val="404040"/>
        <w:sz w:val="22"/>
      </w:rPr>
    </w:tblStylePr>
    <w:tblStylePr w:type="band2Horz">
      <w:rPr>
        <w:color w:val="404040"/>
        <w:sz w:val="22"/>
      </w:rPr>
      <w:tblPr/>
      <w:tcPr>
        <w:shd w:val="clear" w:color="auto" w:fill="C6D9F1"/>
      </w:tcPr>
    </w:tblStylePr>
  </w:style>
  <w:style w:type="table" w:customStyle="1" w:styleId="BorderedLined-Accent2">
    <w:name w:val="Bordered &amp; Lined - Accent 2"/>
    <w:basedOn w:val="a1"/>
    <w:uiPriority w:val="99"/>
    <w:rPr>
      <w:color w:val="404040"/>
      <w:szCs w:val="20"/>
      <w:lang w:eastAsia="ru-RU"/>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color w:val="F2F2F2"/>
        <w:sz w:val="22"/>
      </w:rPr>
      <w:tblPr/>
      <w:tcPr>
        <w:shd w:val="clear" w:color="auto" w:fill="D99594"/>
      </w:tcPr>
    </w:tblStylePr>
    <w:tblStylePr w:type="lastRow">
      <w:rPr>
        <w:color w:val="F2F2F2"/>
        <w:sz w:val="22"/>
      </w:rPr>
      <w:tblPr/>
      <w:tcPr>
        <w:shd w:val="clear" w:color="auto" w:fill="D99594"/>
      </w:tcPr>
    </w:tblStylePr>
    <w:tblStylePr w:type="firstCol">
      <w:rPr>
        <w:color w:val="F2F2F2"/>
        <w:sz w:val="22"/>
      </w:rPr>
      <w:tblPr/>
      <w:tcPr>
        <w:shd w:val="clear" w:color="auto" w:fill="D99594"/>
      </w:tcPr>
    </w:tblStylePr>
    <w:tblStylePr w:type="lastCol">
      <w:rPr>
        <w:color w:val="F2F2F2"/>
        <w:sz w:val="22"/>
      </w:rPr>
      <w:tblPr/>
      <w:tcPr>
        <w:shd w:val="clear" w:color="auto" w:fill="D99594"/>
      </w:tcPr>
    </w:tblStylePr>
    <w:tblStylePr w:type="band1Vert">
      <w:rPr>
        <w:color w:val="404040"/>
        <w:sz w:val="22"/>
      </w:rPr>
    </w:tblStylePr>
    <w:tblStylePr w:type="band2Vert">
      <w:rPr>
        <w:color w:val="404040"/>
        <w:sz w:val="22"/>
      </w:rPr>
      <w:tblPr/>
      <w:tcPr>
        <w:shd w:val="clear" w:color="auto" w:fill="F2DBDB"/>
      </w:tcPr>
    </w:tblStylePr>
    <w:tblStylePr w:type="band1Horz">
      <w:rPr>
        <w:color w:val="404040"/>
        <w:sz w:val="22"/>
      </w:rPr>
    </w:tblStylePr>
    <w:tblStylePr w:type="band2Horz">
      <w:rPr>
        <w:color w:val="404040"/>
        <w:sz w:val="22"/>
      </w:rPr>
      <w:tblPr/>
      <w:tcPr>
        <w:shd w:val="clear" w:color="auto" w:fill="F2DBDB"/>
      </w:tcPr>
    </w:tblStylePr>
  </w:style>
  <w:style w:type="table" w:customStyle="1" w:styleId="BorderedLined-Accent3">
    <w:name w:val="Bordered &amp; Lined - Accent 3"/>
    <w:basedOn w:val="a1"/>
    <w:uiPriority w:val="99"/>
    <w:rPr>
      <w:color w:val="404040"/>
      <w:szCs w:val="20"/>
      <w:lang w:eastAsia="ru-RU"/>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color w:val="F2F2F2"/>
        <w:sz w:val="22"/>
      </w:rPr>
      <w:tblPr/>
      <w:tcPr>
        <w:shd w:val="clear" w:color="auto" w:fill="9BBB59"/>
      </w:tcPr>
    </w:tblStylePr>
    <w:tblStylePr w:type="lastRow">
      <w:rPr>
        <w:color w:val="F2F2F2"/>
        <w:sz w:val="22"/>
      </w:rPr>
      <w:tblPr/>
      <w:tcPr>
        <w:shd w:val="clear" w:color="auto" w:fill="9BBB59"/>
      </w:tcPr>
    </w:tblStylePr>
    <w:tblStylePr w:type="firstCol">
      <w:rPr>
        <w:color w:val="F2F2F2"/>
        <w:sz w:val="22"/>
      </w:rPr>
      <w:tblPr/>
      <w:tcPr>
        <w:shd w:val="clear" w:color="auto" w:fill="9BBB59"/>
      </w:tcPr>
    </w:tblStylePr>
    <w:tblStylePr w:type="lastCol">
      <w:rPr>
        <w:color w:val="F2F2F2"/>
        <w:sz w:val="22"/>
      </w:rPr>
      <w:tblPr/>
      <w:tcPr>
        <w:shd w:val="clear" w:color="auto" w:fill="9BBB59"/>
      </w:tcPr>
    </w:tblStylePr>
    <w:tblStylePr w:type="band1Vert">
      <w:rPr>
        <w:color w:val="404040"/>
        <w:sz w:val="22"/>
      </w:rPr>
    </w:tblStylePr>
    <w:tblStylePr w:type="band2Vert">
      <w:rPr>
        <w:color w:val="404040"/>
        <w:sz w:val="22"/>
      </w:rPr>
      <w:tblPr/>
      <w:tcPr>
        <w:shd w:val="clear" w:color="auto" w:fill="EAF1DD"/>
      </w:tcPr>
    </w:tblStylePr>
    <w:tblStylePr w:type="band1Horz">
      <w:rPr>
        <w:color w:val="404040"/>
        <w:sz w:val="22"/>
      </w:rPr>
    </w:tblStylePr>
    <w:tblStylePr w:type="band2Horz">
      <w:rPr>
        <w:color w:val="404040"/>
        <w:sz w:val="22"/>
      </w:rPr>
      <w:tblPr/>
      <w:tcPr>
        <w:shd w:val="clear" w:color="auto" w:fill="EAF1DD"/>
      </w:tcPr>
    </w:tblStylePr>
  </w:style>
  <w:style w:type="table" w:customStyle="1" w:styleId="BorderedLined-Accent4">
    <w:name w:val="Bordered &amp; Lined - Accent 4"/>
    <w:basedOn w:val="a1"/>
    <w:uiPriority w:val="99"/>
    <w:rPr>
      <w:color w:val="404040"/>
      <w:szCs w:val="20"/>
      <w:lang w:eastAsia="ru-RU"/>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color w:val="F2F2F2"/>
        <w:sz w:val="22"/>
      </w:rPr>
      <w:tblPr/>
      <w:tcPr>
        <w:shd w:val="clear" w:color="auto" w:fill="B2A1C7"/>
      </w:tcPr>
    </w:tblStylePr>
    <w:tblStylePr w:type="lastRow">
      <w:rPr>
        <w:color w:val="F2F2F2"/>
        <w:sz w:val="22"/>
      </w:rPr>
      <w:tblPr/>
      <w:tcPr>
        <w:shd w:val="clear" w:color="auto" w:fill="B2A1C7"/>
      </w:tcPr>
    </w:tblStylePr>
    <w:tblStylePr w:type="firstCol">
      <w:rPr>
        <w:color w:val="F2F2F2"/>
        <w:sz w:val="22"/>
      </w:rPr>
      <w:tblPr/>
      <w:tcPr>
        <w:shd w:val="clear" w:color="auto" w:fill="B2A1C7"/>
      </w:tcPr>
    </w:tblStylePr>
    <w:tblStylePr w:type="lastCol">
      <w:rPr>
        <w:color w:val="F2F2F2"/>
        <w:sz w:val="22"/>
      </w:rPr>
      <w:tblPr/>
      <w:tcPr>
        <w:shd w:val="clear" w:color="auto" w:fill="B2A1C7"/>
      </w:tcPr>
    </w:tblStylePr>
    <w:tblStylePr w:type="band1Vert">
      <w:rPr>
        <w:color w:val="404040"/>
        <w:sz w:val="22"/>
      </w:rPr>
    </w:tblStylePr>
    <w:tblStylePr w:type="band2Vert">
      <w:rPr>
        <w:color w:val="404040"/>
        <w:sz w:val="22"/>
      </w:rPr>
      <w:tblPr/>
      <w:tcPr>
        <w:shd w:val="clear" w:color="auto" w:fill="E5DFEC"/>
      </w:tcPr>
    </w:tblStylePr>
    <w:tblStylePr w:type="band1Horz">
      <w:rPr>
        <w:color w:val="404040"/>
        <w:sz w:val="22"/>
      </w:rPr>
    </w:tblStylePr>
    <w:tblStylePr w:type="band2Horz">
      <w:rPr>
        <w:color w:val="404040"/>
        <w:sz w:val="22"/>
      </w:rPr>
      <w:tblPr/>
      <w:tcPr>
        <w:shd w:val="clear" w:color="auto" w:fill="E5DFEC"/>
      </w:tcPr>
    </w:tblStylePr>
  </w:style>
  <w:style w:type="table" w:customStyle="1" w:styleId="BorderedLined-Accent5">
    <w:name w:val="Bordered &amp; Lined - Accent 5"/>
    <w:basedOn w:val="a1"/>
    <w:uiPriority w:val="99"/>
    <w:rPr>
      <w:color w:val="404040"/>
      <w:szCs w:val="20"/>
      <w:lang w:eastAsia="ru-RU"/>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color w:val="F2F2F2"/>
        <w:sz w:val="22"/>
      </w:rPr>
      <w:tblPr/>
      <w:tcPr>
        <w:shd w:val="clear" w:color="auto" w:fill="4BACC6"/>
      </w:tcPr>
    </w:tblStylePr>
    <w:tblStylePr w:type="lastRow">
      <w:rPr>
        <w:color w:val="F2F2F2"/>
        <w:sz w:val="22"/>
      </w:rPr>
      <w:tblPr/>
      <w:tcPr>
        <w:shd w:val="clear" w:color="auto" w:fill="4BACC6"/>
      </w:tcPr>
    </w:tblStylePr>
    <w:tblStylePr w:type="firstCol">
      <w:rPr>
        <w:color w:val="F2F2F2"/>
        <w:sz w:val="22"/>
      </w:rPr>
      <w:tblPr/>
      <w:tcPr>
        <w:shd w:val="clear" w:color="auto" w:fill="4BACC6"/>
      </w:tcPr>
    </w:tblStylePr>
    <w:tblStylePr w:type="lastCol">
      <w:rPr>
        <w:color w:val="F2F2F2"/>
        <w:sz w:val="22"/>
      </w:rPr>
      <w:tblPr/>
      <w:tcPr>
        <w:shd w:val="clear" w:color="auto" w:fill="4BACC6"/>
      </w:tcPr>
    </w:tblStylePr>
    <w:tblStylePr w:type="band1Vert">
      <w:rPr>
        <w:color w:val="404040"/>
        <w:sz w:val="22"/>
      </w:rPr>
    </w:tblStylePr>
    <w:tblStylePr w:type="band2Vert">
      <w:rPr>
        <w:color w:val="404040"/>
        <w:sz w:val="22"/>
      </w:rPr>
      <w:tblPr/>
      <w:tcPr>
        <w:shd w:val="clear" w:color="auto" w:fill="DAEEF3"/>
      </w:tcPr>
    </w:tblStylePr>
    <w:tblStylePr w:type="band1Horz">
      <w:rPr>
        <w:color w:val="404040"/>
        <w:sz w:val="22"/>
      </w:rPr>
    </w:tblStylePr>
    <w:tblStylePr w:type="band2Horz">
      <w:rPr>
        <w:color w:val="404040"/>
        <w:sz w:val="22"/>
      </w:rPr>
      <w:tblPr/>
      <w:tcPr>
        <w:shd w:val="clear" w:color="auto" w:fill="DAEEF3"/>
      </w:tcPr>
    </w:tblStylePr>
  </w:style>
  <w:style w:type="table" w:customStyle="1" w:styleId="BorderedLined-Accent6">
    <w:name w:val="Bordered &amp; Lined - Accent 6"/>
    <w:basedOn w:val="a1"/>
    <w:uiPriority w:val="99"/>
    <w:rPr>
      <w:color w:val="404040"/>
      <w:szCs w:val="20"/>
      <w:lang w:eastAsia="ru-RU"/>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color w:val="F2F2F2"/>
        <w:sz w:val="22"/>
      </w:rPr>
      <w:tblPr/>
      <w:tcPr>
        <w:shd w:val="clear" w:color="auto" w:fill="F79646"/>
      </w:tcPr>
    </w:tblStylePr>
    <w:tblStylePr w:type="lastRow">
      <w:rPr>
        <w:color w:val="F2F2F2"/>
        <w:sz w:val="22"/>
      </w:rPr>
      <w:tblPr/>
      <w:tcPr>
        <w:shd w:val="clear" w:color="auto" w:fill="F79646"/>
      </w:tcPr>
    </w:tblStylePr>
    <w:tblStylePr w:type="firstCol">
      <w:rPr>
        <w:color w:val="F2F2F2"/>
        <w:sz w:val="22"/>
      </w:rPr>
      <w:tblPr/>
      <w:tcPr>
        <w:shd w:val="clear" w:color="auto" w:fill="F79646"/>
      </w:tcPr>
    </w:tblStylePr>
    <w:tblStylePr w:type="lastCol">
      <w:rPr>
        <w:color w:val="F2F2F2"/>
        <w:sz w:val="22"/>
      </w:rPr>
      <w:tblPr/>
      <w:tcPr>
        <w:shd w:val="clear" w:color="auto" w:fill="F79646"/>
      </w:tcPr>
    </w:tblStylePr>
    <w:tblStylePr w:type="band1Vert">
      <w:rPr>
        <w:color w:val="404040"/>
        <w:sz w:val="22"/>
      </w:rPr>
    </w:tblStylePr>
    <w:tblStylePr w:type="band2Vert">
      <w:rPr>
        <w:color w:val="404040"/>
        <w:sz w:val="22"/>
      </w:rPr>
      <w:tblPr/>
      <w:tcPr>
        <w:shd w:val="clear" w:color="auto" w:fill="FDE9D9"/>
      </w:tcPr>
    </w:tblStylePr>
    <w:tblStylePr w:type="band1Horz">
      <w:rPr>
        <w:color w:val="404040"/>
        <w:sz w:val="22"/>
      </w:rPr>
    </w:tblStylePr>
    <w:tblStylePr w:type="band2Horz">
      <w:rPr>
        <w:color w:val="404040"/>
        <w:sz w:val="22"/>
      </w:rPr>
      <w:tblPr/>
      <w:tcPr>
        <w:shd w:val="clear" w:color="auto" w:fill="FDE9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1491</Words>
  <Characters>8505</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Ekonomist</dc:creator>
  <dc:description/>
  <cp:lastModifiedBy>Ekonomist</cp:lastModifiedBy>
  <cp:revision>2</cp:revision>
  <cp:lastPrinted>2025-06-04T11:18:00Z</cp:lastPrinted>
  <dcterms:created xsi:type="dcterms:W3CDTF">2025-11-10T10:55:00Z</dcterms:created>
  <dcterms:modified xsi:type="dcterms:W3CDTF">2025-11-10T10:55:00Z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